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7" w:rsidRDefault="006C0487" w:rsidP="006C0487">
      <w:pPr>
        <w:jc w:val="both"/>
        <w:rPr>
          <w:rFonts w:cstheme="minorHAnsi"/>
          <w:color w:val="2B2B2B"/>
          <w:shd w:val="clear" w:color="auto" w:fill="F3F3F3"/>
        </w:rPr>
      </w:pPr>
    </w:p>
    <w:p w:rsidR="006C0487" w:rsidRPr="00C42251" w:rsidRDefault="00AF767F" w:rsidP="00F827F8">
      <w:pPr>
        <w:jc w:val="center"/>
        <w:rPr>
          <w:rFonts w:ascii="Arial" w:hAnsi="Arial" w:cs="Arial"/>
          <w:b/>
          <w:color w:val="2B2B2B"/>
          <w:sz w:val="28"/>
          <w:szCs w:val="28"/>
          <w:shd w:val="clear" w:color="auto" w:fill="F3F3F3"/>
        </w:rPr>
      </w:pPr>
      <w:r w:rsidRPr="00C42251">
        <w:rPr>
          <w:rFonts w:ascii="Arial" w:eastAsia="Times New Roman" w:hAnsi="Arial" w:cs="Arial"/>
          <w:b/>
          <w:color w:val="000000"/>
          <w:sz w:val="28"/>
          <w:szCs w:val="28"/>
        </w:rPr>
        <w:t>IZVJEŠTAJ</w:t>
      </w:r>
      <w:r w:rsidR="00F827F8" w:rsidRPr="00C422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 </w:t>
      </w:r>
      <w:r w:rsidR="006C0487" w:rsidRPr="00C42251">
        <w:rPr>
          <w:rFonts w:ascii="Arial" w:eastAsia="Times New Roman" w:hAnsi="Arial" w:cs="Arial"/>
          <w:b/>
          <w:color w:val="000000"/>
          <w:sz w:val="28"/>
          <w:szCs w:val="28"/>
        </w:rPr>
        <w:t>O</w:t>
      </w:r>
      <w:r w:rsidRPr="00C42251">
        <w:rPr>
          <w:rFonts w:ascii="Arial" w:eastAsia="Times New Roman" w:hAnsi="Arial" w:cs="Arial"/>
          <w:b/>
          <w:color w:val="000000"/>
          <w:sz w:val="28"/>
          <w:szCs w:val="28"/>
        </w:rPr>
        <w:t>BRAZLOŽENJE IZVJEŠTAJA</w:t>
      </w:r>
      <w:r w:rsidR="006C0487" w:rsidRPr="00C422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gramStart"/>
      <w:r w:rsidR="006C0487" w:rsidRPr="00C42251">
        <w:rPr>
          <w:rFonts w:ascii="Arial" w:eastAsia="Times New Roman" w:hAnsi="Arial" w:cs="Arial"/>
          <w:b/>
          <w:color w:val="000000"/>
          <w:sz w:val="28"/>
          <w:szCs w:val="28"/>
        </w:rPr>
        <w:t>O  IZVRŠENJU</w:t>
      </w:r>
      <w:proofErr w:type="gramEnd"/>
      <w:r w:rsidR="006C0487" w:rsidRPr="00C422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FINANCIJSKOG PLANA </w:t>
      </w:r>
      <w:r w:rsidR="00F827F8" w:rsidRPr="00C422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DUBROVAČKIH MUZEJA </w:t>
      </w:r>
      <w:r w:rsidR="006C0487" w:rsidRPr="00C42251">
        <w:rPr>
          <w:rFonts w:ascii="Arial" w:eastAsia="Times New Roman" w:hAnsi="Arial" w:cs="Arial"/>
          <w:b/>
          <w:color w:val="000000"/>
          <w:sz w:val="28"/>
          <w:szCs w:val="28"/>
        </w:rPr>
        <w:t>ZA 2021.G</w:t>
      </w:r>
      <w:r w:rsidRPr="00C42251">
        <w:rPr>
          <w:rFonts w:ascii="Arial" w:eastAsia="Times New Roman" w:hAnsi="Arial" w:cs="Arial"/>
          <w:b/>
          <w:color w:val="000000"/>
          <w:sz w:val="28"/>
          <w:szCs w:val="28"/>
        </w:rPr>
        <w:t>ODINU</w:t>
      </w:r>
    </w:p>
    <w:p w:rsidR="00AF767F" w:rsidRPr="00C42251" w:rsidRDefault="00AF767F" w:rsidP="00AF767F">
      <w:pPr>
        <w:shd w:val="clear" w:color="auto" w:fill="FFFFFF" w:themeFill="background1"/>
        <w:spacing w:after="200" w:line="240" w:lineRule="auto"/>
        <w:jc w:val="both"/>
        <w:rPr>
          <w:rFonts w:ascii="Arial" w:eastAsia="Calibri" w:hAnsi="Arial" w:cs="Arial"/>
        </w:rPr>
      </w:pPr>
    </w:p>
    <w:p w:rsidR="00AF767F" w:rsidRPr="00C42251" w:rsidRDefault="00AF767F" w:rsidP="00AF767F">
      <w:pPr>
        <w:shd w:val="clear" w:color="auto" w:fill="FFFFFF" w:themeFill="background1"/>
        <w:spacing w:after="200" w:line="240" w:lineRule="auto"/>
        <w:jc w:val="both"/>
        <w:rPr>
          <w:rFonts w:ascii="Arial" w:eastAsia="Calibri" w:hAnsi="Arial" w:cs="Arial"/>
        </w:rPr>
      </w:pPr>
      <w:r w:rsidRPr="00C42251">
        <w:rPr>
          <w:rFonts w:ascii="Arial" w:eastAsia="Calibri" w:hAnsi="Arial" w:cs="Arial"/>
        </w:rPr>
        <w:t>Dubrovački muzeji su kompleksna ustanova koju čine četiri specijalizirana muzeja: Kulturno –povijesni muzej, Pomorski muzej, Arheološki muzej i Etnografski muzej.</w:t>
      </w:r>
    </w:p>
    <w:p w:rsidR="00AF767F" w:rsidRPr="00C42251" w:rsidRDefault="00AF767F" w:rsidP="00AF767F">
      <w:pPr>
        <w:shd w:val="clear" w:color="auto" w:fill="FFFFFF" w:themeFill="background1"/>
        <w:spacing w:after="200" w:line="240" w:lineRule="auto"/>
        <w:jc w:val="both"/>
        <w:rPr>
          <w:rFonts w:ascii="Arial" w:hAnsi="Arial" w:cs="Arial"/>
          <w:color w:val="2B2B2B"/>
          <w:shd w:val="clear" w:color="auto" w:fill="F3F3F3"/>
        </w:rPr>
      </w:pPr>
      <w:r w:rsidRPr="00C42251">
        <w:rPr>
          <w:rFonts w:ascii="Arial" w:eastAsia="Calibri" w:hAnsi="Arial" w:cs="Arial"/>
        </w:rPr>
        <w:t>Njihovi bogati fundusi izloženi su u spomeničkim objektima najviše kategorije. U tim prostorima izložena je kulturna i umjetnička baština, tradicijska kultura, te povijesno naslijeđe Dubrovnika i njegove okolice.</w:t>
      </w:r>
    </w:p>
    <w:p w:rsidR="00AC4798" w:rsidRPr="00C42251" w:rsidRDefault="00AC4798" w:rsidP="006C0487">
      <w:pPr>
        <w:spacing w:after="200" w:line="240" w:lineRule="auto"/>
        <w:jc w:val="both"/>
        <w:rPr>
          <w:rFonts w:ascii="Arial" w:eastAsia="Calibri" w:hAnsi="Arial" w:cs="Arial"/>
        </w:rPr>
      </w:pPr>
      <w:r w:rsidRPr="00C42251">
        <w:rPr>
          <w:rFonts w:ascii="Arial" w:eastAsia="Calibri" w:hAnsi="Arial" w:cs="Arial"/>
        </w:rPr>
        <w:t>U skladu sa svojom misijom i vizijom, Dubrovački su muzeji i u 2021. godini kroz svoju djelatnost promicali i aktivno radili na očuvanju, zaštiti, prezentaciji i interpretaciji lokalnog identiteta, povijesti i kulture Dubrovnika na dobrobit šire javnosti, a u cilju obrazovanja svih skupina društva i održivog korištenja kulturne baštine.</w:t>
      </w:r>
    </w:p>
    <w:p w:rsidR="00AC4798" w:rsidRPr="00C42251" w:rsidRDefault="00AC4798" w:rsidP="006C0487">
      <w:pPr>
        <w:jc w:val="both"/>
        <w:rPr>
          <w:rFonts w:ascii="Arial" w:eastAsia="Calibri" w:hAnsi="Arial" w:cs="Arial"/>
        </w:rPr>
      </w:pPr>
      <w:r w:rsidRPr="00C42251">
        <w:rPr>
          <w:rFonts w:ascii="Arial" w:eastAsia="Calibri" w:hAnsi="Arial" w:cs="Arial"/>
        </w:rPr>
        <w:t xml:space="preserve">Sukladno Zakonu i Statutu, a u okviru ograničenih financijskih sredstava </w:t>
      </w:r>
      <w:r w:rsidR="00C42251" w:rsidRPr="00C42251">
        <w:rPr>
          <w:rFonts w:ascii="Arial" w:eastAsia="Calibri" w:hAnsi="Arial" w:cs="Arial"/>
        </w:rPr>
        <w:t xml:space="preserve">nastavilo se </w:t>
      </w:r>
      <w:proofErr w:type="gramStart"/>
      <w:r w:rsidR="00AF767F" w:rsidRPr="00C42251">
        <w:rPr>
          <w:rFonts w:ascii="Arial" w:eastAsia="Calibri" w:hAnsi="Arial" w:cs="Arial"/>
        </w:rPr>
        <w:t>s</w:t>
      </w:r>
      <w:r w:rsidR="00C42251" w:rsidRPr="00C42251">
        <w:rPr>
          <w:rFonts w:ascii="Arial" w:eastAsia="Calibri" w:hAnsi="Arial" w:cs="Arial"/>
        </w:rPr>
        <w:t>a</w:t>
      </w:r>
      <w:r w:rsidR="00955C3A" w:rsidRPr="00C42251">
        <w:rPr>
          <w:rFonts w:ascii="Arial" w:eastAsia="Calibri" w:hAnsi="Arial" w:cs="Arial"/>
        </w:rPr>
        <w:t xml:space="preserve"> </w:t>
      </w:r>
      <w:r w:rsidRPr="00C42251">
        <w:rPr>
          <w:rFonts w:ascii="Arial" w:eastAsia="Calibri" w:hAnsi="Arial" w:cs="Arial"/>
        </w:rPr>
        <w:t xml:space="preserve"> obavljanjem</w:t>
      </w:r>
      <w:proofErr w:type="gramEnd"/>
      <w:r w:rsidR="00AF767F" w:rsidRPr="00C42251">
        <w:rPr>
          <w:rFonts w:ascii="Arial" w:eastAsia="Calibri" w:hAnsi="Arial" w:cs="Arial"/>
        </w:rPr>
        <w:t xml:space="preserve"> </w:t>
      </w:r>
      <w:r w:rsidRPr="00C42251">
        <w:rPr>
          <w:rFonts w:ascii="Arial" w:eastAsia="Calibri" w:hAnsi="Arial" w:cs="Arial"/>
        </w:rPr>
        <w:t>poslova nabave muzejske građe, istraživanja, stručne i znanstvene obrade te njezine sistematizacije u zbirke, trajne zaštite muzejske građe, muzejske dokumentacije, kao i baštinskih lokaliteta i nalazišta, izdavačke i edukativne djelatnosti, prezentacije i promidžbe, unapređenja stručnog i znanstvenog rada.</w:t>
      </w:r>
    </w:p>
    <w:p w:rsidR="006C0487" w:rsidRPr="00C42251" w:rsidRDefault="006C0487" w:rsidP="006C0487">
      <w:pPr>
        <w:jc w:val="center"/>
        <w:rPr>
          <w:rFonts w:ascii="Arial" w:hAnsi="Arial" w:cs="Arial"/>
          <w:b/>
          <w:color w:val="2B2B2B"/>
          <w:shd w:val="clear" w:color="auto" w:fill="F3F3F3"/>
        </w:rPr>
      </w:pPr>
      <w:r w:rsidRPr="00C42251">
        <w:rPr>
          <w:rFonts w:ascii="Arial" w:eastAsia="Calibri" w:hAnsi="Arial" w:cs="Arial"/>
          <w:b/>
        </w:rPr>
        <w:t>OPĆI DIO</w:t>
      </w:r>
    </w:p>
    <w:p w:rsidR="00D474C8" w:rsidRPr="00C42251" w:rsidRDefault="00B822C7" w:rsidP="006C0487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F</w:t>
      </w:r>
      <w:r w:rsidR="00865E68" w:rsidRPr="00C42251">
        <w:rPr>
          <w:rFonts w:ascii="Arial" w:hAnsi="Arial" w:cs="Arial"/>
        </w:rPr>
        <w:t xml:space="preserve">inancijski plan ustanove za 2021. godinu izrađen je uravnoteženjem prihoda i rashoda i usvojen na sjednici Upravnog vijeća u </w:t>
      </w:r>
      <w:r w:rsidR="00513C8B" w:rsidRPr="00C42251">
        <w:rPr>
          <w:rFonts w:ascii="Arial" w:hAnsi="Arial" w:cs="Arial"/>
        </w:rPr>
        <w:t xml:space="preserve">studenom </w:t>
      </w:r>
      <w:r w:rsidR="00E671E5" w:rsidRPr="00C42251">
        <w:rPr>
          <w:rFonts w:ascii="Arial" w:hAnsi="Arial" w:cs="Arial"/>
        </w:rPr>
        <w:t>2020.</w:t>
      </w:r>
      <w:r w:rsidR="00C42251" w:rsidRPr="00C42251">
        <w:rPr>
          <w:rFonts w:ascii="Arial" w:hAnsi="Arial" w:cs="Arial"/>
        </w:rPr>
        <w:t xml:space="preserve"> </w:t>
      </w:r>
      <w:r w:rsidR="00E671E5" w:rsidRPr="00C42251">
        <w:rPr>
          <w:rFonts w:ascii="Arial" w:hAnsi="Arial" w:cs="Arial"/>
        </w:rPr>
        <w:t xml:space="preserve">godine u iznosu </w:t>
      </w:r>
      <w:proofErr w:type="gramStart"/>
      <w:r w:rsidR="00E671E5" w:rsidRPr="00C42251">
        <w:rPr>
          <w:rFonts w:ascii="Arial" w:hAnsi="Arial" w:cs="Arial"/>
        </w:rPr>
        <w:t xml:space="preserve">od </w:t>
      </w:r>
      <w:r w:rsidR="00865E68" w:rsidRPr="00C42251">
        <w:rPr>
          <w:rFonts w:ascii="Arial" w:hAnsi="Arial" w:cs="Arial"/>
        </w:rPr>
        <w:t xml:space="preserve"> </w:t>
      </w:r>
      <w:r w:rsidR="00E671E5" w:rsidRPr="00C42251">
        <w:rPr>
          <w:rFonts w:ascii="Arial" w:hAnsi="Arial" w:cs="Arial"/>
        </w:rPr>
        <w:t>12.313.700</w:t>
      </w:r>
      <w:proofErr w:type="gramEnd"/>
      <w:r w:rsidR="00E671E5" w:rsidRPr="00C42251">
        <w:rPr>
          <w:rFonts w:ascii="Arial" w:hAnsi="Arial" w:cs="Arial"/>
        </w:rPr>
        <w:t xml:space="preserve">,00 kn.  Prvim </w:t>
      </w:r>
      <w:r w:rsidR="00513C8B" w:rsidRPr="00C42251">
        <w:rPr>
          <w:rFonts w:ascii="Arial" w:hAnsi="Arial" w:cs="Arial"/>
        </w:rPr>
        <w:t>izmjenama i</w:t>
      </w:r>
      <w:r w:rsidR="00865E68" w:rsidRPr="00C42251">
        <w:rPr>
          <w:rFonts w:ascii="Arial" w:hAnsi="Arial" w:cs="Arial"/>
        </w:rPr>
        <w:t xml:space="preserve"> dopunama Finan</w:t>
      </w:r>
      <w:r w:rsidRPr="00C42251">
        <w:rPr>
          <w:rFonts w:ascii="Arial" w:hAnsi="Arial" w:cs="Arial"/>
        </w:rPr>
        <w:t>cijskog plana usvojenim u listopadu</w:t>
      </w:r>
      <w:r w:rsidR="00865E68" w:rsidRPr="00C42251">
        <w:rPr>
          <w:rFonts w:ascii="Arial" w:hAnsi="Arial" w:cs="Arial"/>
        </w:rPr>
        <w:t xml:space="preserve"> 2021</w:t>
      </w:r>
      <w:r w:rsidRPr="00C42251">
        <w:rPr>
          <w:rFonts w:ascii="Arial" w:hAnsi="Arial" w:cs="Arial"/>
        </w:rPr>
        <w:t>.</w:t>
      </w:r>
      <w:r w:rsidR="00865E68" w:rsidRPr="00C42251">
        <w:rPr>
          <w:rFonts w:ascii="Arial" w:hAnsi="Arial" w:cs="Arial"/>
        </w:rPr>
        <w:t xml:space="preserve"> godine isti je umanjen te je iznosio</w:t>
      </w:r>
      <w:r w:rsidR="00E671E5" w:rsidRPr="00C42251">
        <w:rPr>
          <w:rFonts w:ascii="Arial" w:hAnsi="Arial" w:cs="Arial"/>
        </w:rPr>
        <w:t xml:space="preserve"> 11.390.800,00 kn dok su posl</w:t>
      </w:r>
      <w:r w:rsidRPr="00C42251">
        <w:rPr>
          <w:rFonts w:ascii="Arial" w:hAnsi="Arial" w:cs="Arial"/>
        </w:rPr>
        <w:t>jednje izmjene i</w:t>
      </w:r>
      <w:r w:rsidR="00865E68" w:rsidRPr="00C42251">
        <w:rPr>
          <w:rFonts w:ascii="Arial" w:hAnsi="Arial" w:cs="Arial"/>
        </w:rPr>
        <w:t xml:space="preserve"> dopune Financijskog plana usvojene u prosincu 2021. godine kojima je Financijski plan izrađen u visini </w:t>
      </w:r>
      <w:r w:rsidR="00E671E5" w:rsidRPr="00C42251">
        <w:rPr>
          <w:rFonts w:ascii="Arial" w:hAnsi="Arial" w:cs="Arial"/>
        </w:rPr>
        <w:t xml:space="preserve">11.404.000,00 kn </w:t>
      </w:r>
      <w:r w:rsidR="00865E68" w:rsidRPr="00C42251">
        <w:rPr>
          <w:rFonts w:ascii="Arial" w:hAnsi="Arial" w:cs="Arial"/>
        </w:rPr>
        <w:t>u</w:t>
      </w:r>
      <w:r w:rsidR="000948F5" w:rsidRPr="00C42251">
        <w:rPr>
          <w:rFonts w:ascii="Arial" w:hAnsi="Arial" w:cs="Arial"/>
        </w:rPr>
        <w:t>ravnoteženjem prihoda i rashoda čime su se rashodi redovne</w:t>
      </w:r>
      <w:r w:rsidR="009A46CC" w:rsidRPr="00C42251">
        <w:rPr>
          <w:rFonts w:ascii="Arial" w:hAnsi="Arial" w:cs="Arial"/>
        </w:rPr>
        <w:t xml:space="preserve"> </w:t>
      </w:r>
      <w:proofErr w:type="gramStart"/>
      <w:r w:rsidR="009A46CC" w:rsidRPr="00C42251">
        <w:rPr>
          <w:rFonts w:ascii="Arial" w:hAnsi="Arial" w:cs="Arial"/>
        </w:rPr>
        <w:t xml:space="preserve">i </w:t>
      </w:r>
      <w:r w:rsidR="000948F5" w:rsidRPr="00C42251">
        <w:rPr>
          <w:rFonts w:ascii="Arial" w:hAnsi="Arial" w:cs="Arial"/>
        </w:rPr>
        <w:t xml:space="preserve"> programske</w:t>
      </w:r>
      <w:proofErr w:type="gramEnd"/>
      <w:r w:rsidR="000948F5" w:rsidRPr="00C42251">
        <w:rPr>
          <w:rFonts w:ascii="Arial" w:hAnsi="Arial" w:cs="Arial"/>
        </w:rPr>
        <w:t xml:space="preserve"> dj</w:t>
      </w:r>
      <w:r w:rsidR="00147F08" w:rsidRPr="00C42251">
        <w:rPr>
          <w:rFonts w:ascii="Arial" w:hAnsi="Arial" w:cs="Arial"/>
        </w:rPr>
        <w:t>elatnosti povećali za oko 0,12%</w:t>
      </w:r>
      <w:r w:rsidR="00937E17" w:rsidRPr="00C42251">
        <w:rPr>
          <w:rFonts w:ascii="Arial" w:hAnsi="Arial" w:cs="Arial"/>
        </w:rPr>
        <w:t>.</w:t>
      </w:r>
    </w:p>
    <w:p w:rsidR="00937E17" w:rsidRPr="00C42251" w:rsidRDefault="00937E17" w:rsidP="00E7579E">
      <w:pPr>
        <w:jc w:val="center"/>
        <w:rPr>
          <w:rFonts w:ascii="Arial" w:hAnsi="Arial" w:cs="Arial"/>
          <w:b/>
        </w:rPr>
      </w:pPr>
      <w:r w:rsidRPr="00C42251">
        <w:rPr>
          <w:rFonts w:ascii="Arial" w:hAnsi="Arial" w:cs="Arial"/>
          <w:b/>
        </w:rPr>
        <w:t>RASHODI I IZDACI</w:t>
      </w:r>
    </w:p>
    <w:tbl>
      <w:tblPr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013"/>
        <w:gridCol w:w="2289"/>
        <w:gridCol w:w="1346"/>
        <w:gridCol w:w="1309"/>
        <w:gridCol w:w="1163"/>
        <w:gridCol w:w="1309"/>
        <w:gridCol w:w="780"/>
        <w:gridCol w:w="851"/>
      </w:tblGrid>
      <w:tr w:rsidR="00D474C8" w:rsidRPr="00F96D97" w:rsidTr="00D474C8">
        <w:trPr>
          <w:trHeight w:val="99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Račun prihoda</w:t>
            </w:r>
            <w:r w:rsidR="00AF767F"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i</w:t>
            </w: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primitaka</w:t>
            </w:r>
          </w:p>
          <w:p w:rsidR="00D474C8" w:rsidRPr="00F96D97" w:rsidRDefault="00D474C8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Račun rashoda i izdataka i naziv računa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Ostvarenje /izvršenje 2020.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Izvorni plan  2021.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Tekući plan</w:t>
            </w: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Ostvarenje /izvršenje 2021.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A71614" w:rsidRPr="00F96D97" w:rsidRDefault="00A71614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A71614" w:rsidRPr="00F96D97" w:rsidRDefault="00A71614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4C8" w:rsidRPr="00F96D97" w:rsidTr="00D474C8">
        <w:trPr>
          <w:trHeight w:val="3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6= 5/2*100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7= 5/4*100</w:t>
            </w:r>
          </w:p>
        </w:tc>
      </w:tr>
      <w:tr w:rsidR="00D474C8" w:rsidRPr="00F96D97" w:rsidTr="00D474C8">
        <w:trPr>
          <w:trHeight w:val="28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B0F0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F96D97" w:rsidTr="00D474C8">
        <w:trPr>
          <w:trHeight w:val="3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10.681.264,94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11.248.700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11.248.700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10.799.476,37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AF767F" w:rsidRPr="00F96D97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8.014.797,71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8.606.300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8.606.300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8.508.914,54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AF767F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6.605.518,94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6.516.000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6.516.000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6.468.660,88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AF767F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Plaće za za redovan rad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6.605.518,94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6.516.000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6.516.000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6.468.660,88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AF767F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F767F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319.158,22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1.015.300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1.015.300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973.134,67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AF767F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319.158,22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1.015.300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1.015.300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973.134,67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7F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</w:tr>
      <w:tr w:rsidR="00D474C8" w:rsidRPr="00F96D97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1.090.120,55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1.125.000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1.075.000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1.067.118,99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Doprinosi za obvezno zdr.osiguranje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1.090.120,55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AF767F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1.075.000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1.075.000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1.067.118,99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2.654.384,18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2.625.400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2.625.400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2.275.721,39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273.121,48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290.500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290.500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280.602,50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10.807,86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14.900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14.900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10.692,50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72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Naknade za prijevoz,za rad na terenu I odvojeni život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255.850,00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270.9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270.900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267.300,00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6.463,62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4.700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4.700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2.610,00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563.804,25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745.600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745.600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565.711,03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Uredski materijal  I ostali materijalni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218.116,63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263.300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263.300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227.083,89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86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Materijali i sirovine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104.112,69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194.600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194.600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106.474,70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148.202,41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189.200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189.200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169.426,30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Materijal i dijelovi za tekuće i inv.održavanje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54.322,23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65.000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65.000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40.739,98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18.840,46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18.500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18.500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7.882,41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20.209,83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15.000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15.000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14.103,75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1.474.111,77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</w:t>
            </w:r>
            <w:r w:rsidR="00686BBC"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468.000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1.468.000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1.332.642,26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Usluge telefona,pošte I prijevoza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163.656,46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165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165.000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128.544,18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241.630,79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231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231.000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208.651,26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79.902,94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55.900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55.900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15.638,70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101.256,17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109.300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109.300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104.346,47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589.525,30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471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471.000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470.177,40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8.250,00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83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172.766,56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251.000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251.000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234.266,83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85.406,49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81.500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81.500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80.643,90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39.742,06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93.300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93.300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82.123,52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7.192,96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="00E26411"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.600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2.600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7.192,96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</w:t>
            </w:r>
            <w:r w:rsidR="00E26411" w:rsidRPr="00F96D97">
              <w:rPr>
                <w:rFonts w:eastAsia="Times New Roman" w:cstheme="minorHAnsi"/>
                <w:sz w:val="16"/>
                <w:szCs w:val="16"/>
              </w:rPr>
              <w:t>.600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2.600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336.153,72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118.700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118.700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96.765,60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Naknade za rad predstavničkih i izvršnih tijela,povjerenstava i sl.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24.343,23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73.465,63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25.500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25.500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21.141,54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83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15.176,73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10.700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10.700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9.097,33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85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5.329,18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5.400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5.400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5.332,47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18.053,21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17.500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17.500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15.267,50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147.000,00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52.785,74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59.600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59.600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45.926,76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F767F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77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12.083,05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14.840,44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87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12.083,05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14.840,44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87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12.038,96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686BB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16.700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16.700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14.839,97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89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  44,09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   0,47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0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B0F0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3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234.219,11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155.300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155.300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106.572,70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69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463,13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6.250,00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99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463,13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6.300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6.250,00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99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6.300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6.250,00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99    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Ostala nematerijalna imovina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463,13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233.755,98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149.000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149.000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100.322,70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67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187.110,98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99.000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99.000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78.215,70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79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83.892,46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70.800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70.800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56.004,34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79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1.194,00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2.400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2.400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2.388,00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100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2.704,65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4.800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4.800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-  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Uređaji,strojevi i oprema za ostale namjene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99.319,87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21.000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19.823,36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94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46.645,00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22.107,00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44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4244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ostale nespomenute izložbene vrijednosti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46.645,00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50.000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 xml:space="preserve">          22.107,00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44    </w:t>
            </w:r>
          </w:p>
        </w:tc>
      </w:tr>
      <w:tr w:rsidR="00D474C8" w:rsidRPr="000A4716" w:rsidTr="00D474C8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474C8" w:rsidRPr="000A4716" w:rsidTr="00D474C8">
        <w:trPr>
          <w:trHeight w:val="49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10.915.484,05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686BBC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11.404.000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11.404.000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10.906.049,07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6411" w:rsidRPr="00F96D97" w:rsidRDefault="00E26411" w:rsidP="00AC035C">
            <w:pPr>
              <w:tabs>
                <w:tab w:val="left" w:pos="86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96    </w:t>
            </w:r>
          </w:p>
        </w:tc>
      </w:tr>
    </w:tbl>
    <w:p w:rsidR="00B20936" w:rsidRDefault="00B20936">
      <w:pPr>
        <w:rPr>
          <w:rFonts w:cstheme="minorHAnsi"/>
        </w:rPr>
      </w:pPr>
    </w:p>
    <w:p w:rsidR="00CB0A84" w:rsidRPr="00C42251" w:rsidRDefault="00865E68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 xml:space="preserve">U </w:t>
      </w:r>
      <w:r w:rsidR="00E671E5" w:rsidRPr="00C42251">
        <w:rPr>
          <w:rFonts w:ascii="Arial" w:hAnsi="Arial" w:cs="Arial"/>
        </w:rPr>
        <w:t>odnosu na posl</w:t>
      </w:r>
      <w:r w:rsidR="00B822C7" w:rsidRPr="00C42251">
        <w:rPr>
          <w:rFonts w:ascii="Arial" w:hAnsi="Arial" w:cs="Arial"/>
        </w:rPr>
        <w:t>jednji usvojeni F</w:t>
      </w:r>
      <w:r w:rsidR="00E671E5" w:rsidRPr="00C42251">
        <w:rPr>
          <w:rFonts w:ascii="Arial" w:hAnsi="Arial" w:cs="Arial"/>
        </w:rPr>
        <w:t xml:space="preserve">inancijski plan u visini 11.404.000,00 kn </w:t>
      </w:r>
      <w:r w:rsidR="00901891">
        <w:rPr>
          <w:rFonts w:ascii="Arial" w:hAnsi="Arial" w:cs="Arial"/>
        </w:rPr>
        <w:t>izrađen je Godišnji</w:t>
      </w:r>
      <w:r w:rsidR="00C42251" w:rsidRPr="00C42251">
        <w:rPr>
          <w:rFonts w:ascii="Arial" w:hAnsi="Arial" w:cs="Arial"/>
        </w:rPr>
        <w:t xml:space="preserve"> financijski izvještaj</w:t>
      </w:r>
      <w:r w:rsidR="00B822C7" w:rsidRPr="00C42251">
        <w:rPr>
          <w:rFonts w:ascii="Arial" w:hAnsi="Arial" w:cs="Arial"/>
        </w:rPr>
        <w:t xml:space="preserve"> ustanove i</w:t>
      </w:r>
      <w:r w:rsidR="00C42251" w:rsidRPr="00C42251">
        <w:rPr>
          <w:rFonts w:ascii="Arial" w:hAnsi="Arial" w:cs="Arial"/>
        </w:rPr>
        <w:t xml:space="preserve"> izvještaj</w:t>
      </w:r>
      <w:r w:rsidRPr="00C42251">
        <w:rPr>
          <w:rFonts w:ascii="Arial" w:hAnsi="Arial" w:cs="Arial"/>
        </w:rPr>
        <w:t xml:space="preserve"> o izvršenju fin</w:t>
      </w:r>
      <w:r w:rsidR="00E671E5" w:rsidRPr="00C42251">
        <w:rPr>
          <w:rFonts w:ascii="Arial" w:hAnsi="Arial" w:cs="Arial"/>
        </w:rPr>
        <w:t>ancijskog plana Ustanove za 2021</w:t>
      </w:r>
      <w:r w:rsidRPr="00C42251">
        <w:rPr>
          <w:rFonts w:ascii="Arial" w:hAnsi="Arial" w:cs="Arial"/>
        </w:rPr>
        <w:t>. godinu</w:t>
      </w:r>
      <w:r w:rsidR="00CB0A84" w:rsidRPr="00C42251">
        <w:rPr>
          <w:rFonts w:ascii="Arial" w:hAnsi="Arial" w:cs="Arial"/>
        </w:rPr>
        <w:t xml:space="preserve"> prema kojem ukupni rashodi ustanove po svim izvorima iznose 10.906.049,07 kuna što je oko 96</w:t>
      </w:r>
      <w:proofErr w:type="gramStart"/>
      <w:r w:rsidR="00CB0A84" w:rsidRPr="00C42251">
        <w:rPr>
          <w:rFonts w:ascii="Arial" w:hAnsi="Arial" w:cs="Arial"/>
        </w:rPr>
        <w:t>% .</w:t>
      </w:r>
      <w:proofErr w:type="gramEnd"/>
      <w:r w:rsidR="00CB0A84" w:rsidRPr="00C42251">
        <w:rPr>
          <w:rFonts w:ascii="Arial" w:hAnsi="Arial" w:cs="Arial"/>
        </w:rPr>
        <w:t xml:space="preserve"> </w:t>
      </w:r>
    </w:p>
    <w:p w:rsidR="00065D35" w:rsidRPr="00C42251" w:rsidRDefault="00CB0A84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 xml:space="preserve">Odstupanje </w:t>
      </w:r>
      <w:proofErr w:type="gramStart"/>
      <w:r w:rsidRPr="00C42251">
        <w:rPr>
          <w:rFonts w:ascii="Arial" w:hAnsi="Arial" w:cs="Arial"/>
        </w:rPr>
        <w:t>od</w:t>
      </w:r>
      <w:r w:rsidR="009A46CC" w:rsidRPr="00C42251">
        <w:rPr>
          <w:rFonts w:ascii="Arial" w:hAnsi="Arial" w:cs="Arial"/>
        </w:rPr>
        <w:t xml:space="preserve">  </w:t>
      </w:r>
      <w:r w:rsidRPr="00C42251">
        <w:rPr>
          <w:rFonts w:ascii="Arial" w:hAnsi="Arial" w:cs="Arial"/>
        </w:rPr>
        <w:t>4</w:t>
      </w:r>
      <w:proofErr w:type="gramEnd"/>
      <w:r w:rsidR="009A46CC" w:rsidRPr="00C42251">
        <w:rPr>
          <w:rFonts w:ascii="Arial" w:hAnsi="Arial" w:cs="Arial"/>
        </w:rPr>
        <w:t xml:space="preserve"> </w:t>
      </w:r>
      <w:r w:rsidR="00917638" w:rsidRPr="00C42251">
        <w:rPr>
          <w:rFonts w:ascii="Arial" w:hAnsi="Arial" w:cs="Arial"/>
        </w:rPr>
        <w:t xml:space="preserve">% </w:t>
      </w:r>
      <w:r w:rsidRPr="00C42251">
        <w:rPr>
          <w:rFonts w:ascii="Arial" w:hAnsi="Arial" w:cs="Arial"/>
        </w:rPr>
        <w:t>odnosi se najvećim dijelom na materijalne rashode</w:t>
      </w:r>
      <w:r w:rsidR="00065D35" w:rsidRPr="00C42251">
        <w:rPr>
          <w:rFonts w:ascii="Arial" w:hAnsi="Arial" w:cs="Arial"/>
        </w:rPr>
        <w:t xml:space="preserve"> i rashode za usluge.</w:t>
      </w:r>
    </w:p>
    <w:p w:rsidR="00A751E3" w:rsidRPr="00C42251" w:rsidRDefault="00065D35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Rashodi za zaposlen</w:t>
      </w:r>
      <w:r w:rsidR="005C3F1E" w:rsidRPr="00C42251">
        <w:rPr>
          <w:rFonts w:ascii="Arial" w:hAnsi="Arial" w:cs="Arial"/>
        </w:rPr>
        <w:t>e vrijednosno su najznačajniji i</w:t>
      </w:r>
      <w:r w:rsidRPr="00C42251">
        <w:rPr>
          <w:rFonts w:ascii="Arial" w:hAnsi="Arial" w:cs="Arial"/>
        </w:rPr>
        <w:t xml:space="preserve"> čine </w:t>
      </w:r>
      <w:r w:rsidR="005C3F1E" w:rsidRPr="00C42251">
        <w:rPr>
          <w:rFonts w:ascii="Arial" w:hAnsi="Arial" w:cs="Arial"/>
        </w:rPr>
        <w:t xml:space="preserve">78,02 </w:t>
      </w:r>
      <w:r w:rsidRPr="00C42251">
        <w:rPr>
          <w:rFonts w:ascii="Arial" w:hAnsi="Arial" w:cs="Arial"/>
        </w:rPr>
        <w:t>% ukupno realiziranih rashoda ustanove,</w:t>
      </w:r>
      <w:r w:rsidR="00C42251" w:rsidRPr="00C42251">
        <w:rPr>
          <w:rFonts w:ascii="Arial" w:hAnsi="Arial" w:cs="Arial"/>
        </w:rPr>
        <w:t xml:space="preserve"> a u odnosu na </w:t>
      </w:r>
      <w:proofErr w:type="gramStart"/>
      <w:r w:rsidR="00C42251" w:rsidRPr="00C42251">
        <w:rPr>
          <w:rFonts w:ascii="Arial" w:hAnsi="Arial" w:cs="Arial"/>
        </w:rPr>
        <w:t>F</w:t>
      </w:r>
      <w:r w:rsidR="005C3F1E" w:rsidRPr="00C42251">
        <w:rPr>
          <w:rFonts w:ascii="Arial" w:hAnsi="Arial" w:cs="Arial"/>
        </w:rPr>
        <w:t xml:space="preserve">inancijski </w:t>
      </w:r>
      <w:r w:rsidRPr="00C42251">
        <w:rPr>
          <w:rFonts w:ascii="Arial" w:hAnsi="Arial" w:cs="Arial"/>
        </w:rPr>
        <w:t xml:space="preserve"> plan</w:t>
      </w:r>
      <w:proofErr w:type="gramEnd"/>
      <w:r w:rsidRPr="00C42251">
        <w:rPr>
          <w:rFonts w:ascii="Arial" w:hAnsi="Arial" w:cs="Arial"/>
        </w:rPr>
        <w:t xml:space="preserve"> realizirani su u visini</w:t>
      </w:r>
      <w:r w:rsidR="005C3F1E" w:rsidRPr="00C42251">
        <w:rPr>
          <w:rFonts w:ascii="Arial" w:hAnsi="Arial" w:cs="Arial"/>
        </w:rPr>
        <w:t xml:space="preserve"> od 99</w:t>
      </w:r>
      <w:r w:rsidR="00A751E3" w:rsidRPr="00C42251">
        <w:rPr>
          <w:rFonts w:ascii="Arial" w:hAnsi="Arial" w:cs="Arial"/>
        </w:rPr>
        <w:t>% ukupno planiranih</w:t>
      </w:r>
      <w:r w:rsidR="00C42251" w:rsidRPr="00C42251">
        <w:rPr>
          <w:rFonts w:ascii="Arial" w:hAnsi="Arial" w:cs="Arial"/>
        </w:rPr>
        <w:t xml:space="preserve"> i</w:t>
      </w:r>
      <w:r w:rsidR="00A751E3" w:rsidRPr="00C42251">
        <w:rPr>
          <w:rFonts w:ascii="Arial" w:hAnsi="Arial" w:cs="Arial"/>
        </w:rPr>
        <w:t xml:space="preserve"> iznose 8.508.914,54 kn.</w:t>
      </w:r>
    </w:p>
    <w:p w:rsidR="005C3F1E" w:rsidRPr="00C42251" w:rsidRDefault="005C3F1E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Rashode za zaposlene čine troškovi plaća i doprinosa za 83 zaposlenika</w:t>
      </w:r>
      <w:r w:rsidR="00C606A5" w:rsidRPr="00C42251">
        <w:rPr>
          <w:rFonts w:ascii="Arial" w:hAnsi="Arial" w:cs="Arial"/>
        </w:rPr>
        <w:t xml:space="preserve"> prema planu za 2021.</w:t>
      </w:r>
      <w:r w:rsidR="00A751E3" w:rsidRPr="00C42251">
        <w:rPr>
          <w:rFonts w:ascii="Arial" w:hAnsi="Arial" w:cs="Arial"/>
        </w:rPr>
        <w:t>godinu s tim da je</w:t>
      </w:r>
      <w:r w:rsidR="00C606A5" w:rsidRPr="00C42251">
        <w:rPr>
          <w:rFonts w:ascii="Arial" w:hAnsi="Arial" w:cs="Arial"/>
        </w:rPr>
        <w:t xml:space="preserve"> za dvoje zaposlenika radni odnos završio sp</w:t>
      </w:r>
      <w:r w:rsidR="00A751E3" w:rsidRPr="00C42251">
        <w:rPr>
          <w:rFonts w:ascii="Arial" w:hAnsi="Arial" w:cs="Arial"/>
        </w:rPr>
        <w:t>o</w:t>
      </w:r>
      <w:r w:rsidR="00C606A5" w:rsidRPr="00C42251">
        <w:rPr>
          <w:rFonts w:ascii="Arial" w:hAnsi="Arial" w:cs="Arial"/>
        </w:rPr>
        <w:t>razum</w:t>
      </w:r>
      <w:r w:rsidR="00C42251" w:rsidRPr="00C42251">
        <w:rPr>
          <w:rFonts w:ascii="Arial" w:hAnsi="Arial" w:cs="Arial"/>
        </w:rPr>
        <w:t xml:space="preserve">nim raskidom dok je </w:t>
      </w:r>
      <w:r w:rsidR="00A751E3" w:rsidRPr="00C42251">
        <w:rPr>
          <w:rFonts w:ascii="Arial" w:hAnsi="Arial" w:cs="Arial"/>
        </w:rPr>
        <w:t>dvoje</w:t>
      </w:r>
      <w:r w:rsidR="00C606A5" w:rsidRPr="00C42251">
        <w:rPr>
          <w:rFonts w:ascii="Arial" w:hAnsi="Arial" w:cs="Arial"/>
        </w:rPr>
        <w:t xml:space="preserve"> </w:t>
      </w:r>
      <w:proofErr w:type="gramStart"/>
      <w:r w:rsidR="00C606A5" w:rsidRPr="00C42251">
        <w:rPr>
          <w:rFonts w:ascii="Arial" w:hAnsi="Arial" w:cs="Arial"/>
        </w:rPr>
        <w:t>zaposlenika</w:t>
      </w:r>
      <w:r w:rsidR="00901891">
        <w:rPr>
          <w:rFonts w:ascii="Arial" w:hAnsi="Arial" w:cs="Arial"/>
        </w:rPr>
        <w:t xml:space="preserve"> </w:t>
      </w:r>
      <w:r w:rsidR="00A751E3" w:rsidRPr="00C42251">
        <w:rPr>
          <w:rFonts w:ascii="Arial" w:hAnsi="Arial" w:cs="Arial"/>
        </w:rPr>
        <w:t xml:space="preserve"> ostvarilo</w:t>
      </w:r>
      <w:proofErr w:type="gramEnd"/>
      <w:r w:rsidR="00A751E3" w:rsidRPr="00C42251">
        <w:rPr>
          <w:rFonts w:ascii="Arial" w:hAnsi="Arial" w:cs="Arial"/>
        </w:rPr>
        <w:t xml:space="preserve"> pravo na mirovinu tako da </w:t>
      </w:r>
      <w:r w:rsidR="00901891">
        <w:rPr>
          <w:rFonts w:ascii="Arial" w:hAnsi="Arial" w:cs="Arial"/>
        </w:rPr>
        <w:t xml:space="preserve">je </w:t>
      </w:r>
      <w:r w:rsidR="00A751E3" w:rsidRPr="00C42251">
        <w:rPr>
          <w:rFonts w:ascii="Arial" w:hAnsi="Arial" w:cs="Arial"/>
        </w:rPr>
        <w:t xml:space="preserve">broj zaposlenih na dan 31.12.2021. godine iznosio 79 zaposlenika. Navedeni rashodi </w:t>
      </w:r>
      <w:r w:rsidRPr="00C42251">
        <w:rPr>
          <w:rFonts w:ascii="Arial" w:hAnsi="Arial" w:cs="Arial"/>
        </w:rPr>
        <w:t xml:space="preserve">uvećani su zbog isplata jubilarnih nagrada i regresa iz 2020. godine </w:t>
      </w:r>
      <w:proofErr w:type="gramStart"/>
      <w:r w:rsidRPr="00C42251">
        <w:rPr>
          <w:rFonts w:ascii="Arial" w:hAnsi="Arial" w:cs="Arial"/>
        </w:rPr>
        <w:t>te  prava</w:t>
      </w:r>
      <w:proofErr w:type="gramEnd"/>
      <w:r w:rsidRPr="00C42251">
        <w:rPr>
          <w:rFonts w:ascii="Arial" w:hAnsi="Arial" w:cs="Arial"/>
        </w:rPr>
        <w:t xml:space="preserve"> iz kolektivnog ugovora</w:t>
      </w:r>
      <w:r w:rsidR="00A751E3" w:rsidRPr="00C42251">
        <w:rPr>
          <w:rFonts w:ascii="Arial" w:hAnsi="Arial" w:cs="Arial"/>
        </w:rPr>
        <w:t xml:space="preserve"> za 2021. godinu.</w:t>
      </w:r>
    </w:p>
    <w:p w:rsidR="00A751E3" w:rsidRPr="00C42251" w:rsidRDefault="00A751E3" w:rsidP="00C42251">
      <w:pPr>
        <w:rPr>
          <w:rFonts w:ascii="Arial" w:hAnsi="Arial" w:cs="Arial"/>
        </w:rPr>
      </w:pPr>
    </w:p>
    <w:p w:rsidR="00B35FC6" w:rsidRPr="00C42251" w:rsidRDefault="00A751E3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lastRenderedPageBreak/>
        <w:t xml:space="preserve">Materijalni rashodi čine </w:t>
      </w:r>
      <w:r w:rsidR="00814B2C" w:rsidRPr="00C42251">
        <w:rPr>
          <w:rFonts w:ascii="Arial" w:hAnsi="Arial" w:cs="Arial"/>
        </w:rPr>
        <w:t xml:space="preserve">20.87% ukupno realiziranih rashoda ustanove, </w:t>
      </w:r>
      <w:r w:rsidR="00C42251">
        <w:rPr>
          <w:rFonts w:ascii="Arial" w:hAnsi="Arial" w:cs="Arial"/>
        </w:rPr>
        <w:t>i iznose 2.275.721,39 kn, tj. 87% ukupno planiranih.</w:t>
      </w:r>
      <w:r w:rsidR="00814B2C" w:rsidRPr="00C42251">
        <w:rPr>
          <w:rFonts w:ascii="Arial" w:hAnsi="Arial" w:cs="Arial"/>
        </w:rPr>
        <w:t xml:space="preserve"> U odnosu na prethodnu godinu navedeni </w:t>
      </w:r>
      <w:proofErr w:type="gramStart"/>
      <w:r w:rsidR="00814B2C" w:rsidRPr="00C42251">
        <w:rPr>
          <w:rFonts w:ascii="Arial" w:hAnsi="Arial" w:cs="Arial"/>
        </w:rPr>
        <w:t>rashodi  su</w:t>
      </w:r>
      <w:proofErr w:type="gramEnd"/>
      <w:r w:rsidR="00814B2C" w:rsidRPr="00C42251">
        <w:rPr>
          <w:rFonts w:ascii="Arial" w:hAnsi="Arial" w:cs="Arial"/>
        </w:rPr>
        <w:t xml:space="preserve"> umanjeni za </w:t>
      </w:r>
      <w:r w:rsidRPr="00C42251">
        <w:rPr>
          <w:rFonts w:ascii="Arial" w:hAnsi="Arial" w:cs="Arial"/>
        </w:rPr>
        <w:t xml:space="preserve"> </w:t>
      </w:r>
      <w:r w:rsidR="008E69F5" w:rsidRPr="00C42251">
        <w:rPr>
          <w:rFonts w:ascii="Arial" w:hAnsi="Arial" w:cs="Arial"/>
        </w:rPr>
        <w:t xml:space="preserve">oko 14,27 % . </w:t>
      </w:r>
    </w:p>
    <w:p w:rsidR="00A751E3" w:rsidRPr="00C42251" w:rsidRDefault="008E69F5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 xml:space="preserve">Naknade troškova zaposlenima su ostvarene u iznosu 97% planiranih i odnose se najvećim dijelom na naknade za prijevoz i za rad na terenu. </w:t>
      </w:r>
    </w:p>
    <w:p w:rsidR="00B35FC6" w:rsidRPr="00C42251" w:rsidRDefault="008E69F5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Rashodi za materi</w:t>
      </w:r>
      <w:r w:rsidR="006B436E">
        <w:rPr>
          <w:rFonts w:ascii="Arial" w:hAnsi="Arial" w:cs="Arial"/>
        </w:rPr>
        <w:t>j</w:t>
      </w:r>
      <w:r w:rsidRPr="00C42251">
        <w:rPr>
          <w:rFonts w:ascii="Arial" w:hAnsi="Arial" w:cs="Arial"/>
        </w:rPr>
        <w:t>al i</w:t>
      </w:r>
      <w:r w:rsidR="00A751E3" w:rsidRPr="00C42251">
        <w:rPr>
          <w:rFonts w:ascii="Arial" w:hAnsi="Arial" w:cs="Arial"/>
        </w:rPr>
        <w:t xml:space="preserve"> energiju </w:t>
      </w:r>
      <w:r w:rsidRPr="00C42251">
        <w:rPr>
          <w:rFonts w:ascii="Arial" w:hAnsi="Arial" w:cs="Arial"/>
        </w:rPr>
        <w:t>iznose 76% planiranih</w:t>
      </w:r>
      <w:r w:rsidR="00495E5F">
        <w:rPr>
          <w:rFonts w:ascii="Arial" w:hAnsi="Arial" w:cs="Arial"/>
        </w:rPr>
        <w:t xml:space="preserve"> rashoda</w:t>
      </w:r>
      <w:r w:rsidR="00E316F1" w:rsidRPr="00C42251">
        <w:rPr>
          <w:rFonts w:ascii="Arial" w:hAnsi="Arial" w:cs="Arial"/>
        </w:rPr>
        <w:t xml:space="preserve"> što je postignuto racionalizacijom poslovanja</w:t>
      </w:r>
      <w:r w:rsidR="00495E5F">
        <w:rPr>
          <w:rFonts w:ascii="Arial" w:hAnsi="Arial" w:cs="Arial"/>
        </w:rPr>
        <w:t>,</w:t>
      </w:r>
      <w:r w:rsidR="00E316F1" w:rsidRPr="00C42251">
        <w:rPr>
          <w:rFonts w:ascii="Arial" w:hAnsi="Arial" w:cs="Arial"/>
        </w:rPr>
        <w:t xml:space="preserve"> a na smanjenje je utjecalo i </w:t>
      </w:r>
      <w:r w:rsidR="00BA1594" w:rsidRPr="00C42251">
        <w:rPr>
          <w:rFonts w:ascii="Arial" w:hAnsi="Arial" w:cs="Arial"/>
        </w:rPr>
        <w:t>ograničavanj</w:t>
      </w:r>
      <w:r w:rsidR="00E316F1" w:rsidRPr="00C42251">
        <w:rPr>
          <w:rFonts w:ascii="Arial" w:hAnsi="Arial" w:cs="Arial"/>
        </w:rPr>
        <w:t xml:space="preserve">e </w:t>
      </w:r>
      <w:r w:rsidR="00BA1594" w:rsidRPr="00C42251">
        <w:rPr>
          <w:rFonts w:ascii="Arial" w:hAnsi="Arial" w:cs="Arial"/>
        </w:rPr>
        <w:t>trošenja sredstava proračuna Osnivača</w:t>
      </w:r>
      <w:r w:rsidR="00E316F1" w:rsidRPr="00C42251">
        <w:rPr>
          <w:rFonts w:ascii="Arial" w:hAnsi="Arial" w:cs="Arial"/>
        </w:rPr>
        <w:t xml:space="preserve"> kao i</w:t>
      </w:r>
      <w:r w:rsidR="00B35FC6" w:rsidRPr="00C42251">
        <w:rPr>
          <w:rFonts w:ascii="Arial" w:hAnsi="Arial" w:cs="Arial"/>
        </w:rPr>
        <w:t xml:space="preserve"> nemogućnost </w:t>
      </w:r>
      <w:r w:rsidR="00065D35" w:rsidRPr="00C42251">
        <w:rPr>
          <w:rFonts w:ascii="Arial" w:hAnsi="Arial" w:cs="Arial"/>
        </w:rPr>
        <w:t xml:space="preserve">realiziranja nekih programskih </w:t>
      </w:r>
      <w:proofErr w:type="gramStart"/>
      <w:r w:rsidR="00065D35" w:rsidRPr="00C42251">
        <w:rPr>
          <w:rFonts w:ascii="Arial" w:hAnsi="Arial" w:cs="Arial"/>
        </w:rPr>
        <w:t>aktivnosti  (</w:t>
      </w:r>
      <w:proofErr w:type="gramEnd"/>
      <w:r w:rsidR="00065D35" w:rsidRPr="00C42251">
        <w:rPr>
          <w:rFonts w:ascii="Arial" w:hAnsi="Arial" w:cs="Arial"/>
        </w:rPr>
        <w:t xml:space="preserve">tisak kataloga </w:t>
      </w:r>
      <w:r w:rsidR="00B35FC6" w:rsidRPr="00C42251">
        <w:rPr>
          <w:rFonts w:ascii="Arial" w:hAnsi="Arial" w:cs="Arial"/>
        </w:rPr>
        <w:t>i</w:t>
      </w:r>
      <w:r w:rsidR="00065D35" w:rsidRPr="00C42251">
        <w:rPr>
          <w:rFonts w:ascii="Arial" w:hAnsi="Arial" w:cs="Arial"/>
        </w:rPr>
        <w:t xml:space="preserve"> jedne publikacije</w:t>
      </w:r>
      <w:r w:rsidR="00495E5F">
        <w:rPr>
          <w:rFonts w:ascii="Arial" w:hAnsi="Arial" w:cs="Arial"/>
        </w:rPr>
        <w:t>,</w:t>
      </w:r>
      <w:r w:rsidR="00065D35" w:rsidRPr="00C42251">
        <w:rPr>
          <w:rFonts w:ascii="Arial" w:hAnsi="Arial" w:cs="Arial"/>
        </w:rPr>
        <w:t xml:space="preserve">  kao i nabava suvenira)</w:t>
      </w:r>
      <w:r w:rsidR="00B35FC6" w:rsidRPr="00C42251">
        <w:rPr>
          <w:rFonts w:ascii="Arial" w:hAnsi="Arial" w:cs="Arial"/>
        </w:rPr>
        <w:t>.</w:t>
      </w:r>
      <w:r w:rsidR="00065D35" w:rsidRPr="00C42251">
        <w:rPr>
          <w:rFonts w:ascii="Arial" w:hAnsi="Arial" w:cs="Arial"/>
        </w:rPr>
        <w:t xml:space="preserve"> </w:t>
      </w:r>
    </w:p>
    <w:p w:rsidR="00CB0A84" w:rsidRPr="00C42251" w:rsidRDefault="00B35FC6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 xml:space="preserve">Rashodi za usluge </w:t>
      </w:r>
      <w:proofErr w:type="gramStart"/>
      <w:r w:rsidRPr="00C42251">
        <w:rPr>
          <w:rFonts w:ascii="Arial" w:hAnsi="Arial" w:cs="Arial"/>
        </w:rPr>
        <w:t>iznose</w:t>
      </w:r>
      <w:r w:rsidR="00E316F1" w:rsidRPr="00C42251">
        <w:rPr>
          <w:rFonts w:ascii="Arial" w:hAnsi="Arial" w:cs="Arial"/>
        </w:rPr>
        <w:t xml:space="preserve"> </w:t>
      </w:r>
      <w:r w:rsidRPr="00C42251">
        <w:rPr>
          <w:rFonts w:ascii="Arial" w:hAnsi="Arial" w:cs="Arial"/>
        </w:rPr>
        <w:t xml:space="preserve"> 91</w:t>
      </w:r>
      <w:proofErr w:type="gramEnd"/>
      <w:r w:rsidRPr="00C42251">
        <w:rPr>
          <w:rFonts w:ascii="Arial" w:hAnsi="Arial" w:cs="Arial"/>
        </w:rPr>
        <w:t>% planiranih</w:t>
      </w:r>
      <w:r w:rsidR="00495E5F">
        <w:rPr>
          <w:rFonts w:ascii="Arial" w:hAnsi="Arial" w:cs="Arial"/>
        </w:rPr>
        <w:t xml:space="preserve"> Izvornim planom , </w:t>
      </w:r>
      <w:r w:rsidR="00E316F1" w:rsidRPr="00C42251">
        <w:rPr>
          <w:rFonts w:ascii="Arial" w:hAnsi="Arial" w:cs="Arial"/>
        </w:rPr>
        <w:t xml:space="preserve">a najveći  razlog smanjenja izvršenja plana </w:t>
      </w:r>
      <w:r w:rsidRPr="00C42251">
        <w:rPr>
          <w:rFonts w:ascii="Arial" w:hAnsi="Arial" w:cs="Arial"/>
        </w:rPr>
        <w:t xml:space="preserve"> </w:t>
      </w:r>
      <w:r w:rsidR="00E316F1" w:rsidRPr="00C42251">
        <w:rPr>
          <w:rFonts w:ascii="Arial" w:hAnsi="Arial" w:cs="Arial"/>
        </w:rPr>
        <w:t xml:space="preserve">je </w:t>
      </w:r>
      <w:r w:rsidR="00495E5F">
        <w:rPr>
          <w:rFonts w:ascii="Arial" w:hAnsi="Arial" w:cs="Arial"/>
        </w:rPr>
        <w:t>produženje popusta na naj</w:t>
      </w:r>
      <w:r w:rsidRPr="00C42251">
        <w:rPr>
          <w:rFonts w:ascii="Arial" w:hAnsi="Arial" w:cs="Arial"/>
        </w:rPr>
        <w:t>move uredskih</w:t>
      </w:r>
      <w:r w:rsidR="00CB0A84" w:rsidRPr="00C42251">
        <w:rPr>
          <w:rFonts w:ascii="Arial" w:hAnsi="Arial" w:cs="Arial"/>
        </w:rPr>
        <w:t xml:space="preserve"> prostor</w:t>
      </w:r>
      <w:r w:rsidRPr="00C42251">
        <w:rPr>
          <w:rFonts w:ascii="Arial" w:hAnsi="Arial" w:cs="Arial"/>
        </w:rPr>
        <w:t xml:space="preserve">a i čuvaonica građe tijekom epidemije virusom Covid -19. </w:t>
      </w:r>
    </w:p>
    <w:p w:rsidR="001C3F5E" w:rsidRPr="00C42251" w:rsidRDefault="001C3F5E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Ostali nespomenuti rashodi poslovanja izvršeni su u</w:t>
      </w:r>
      <w:r w:rsidR="00495E5F">
        <w:rPr>
          <w:rFonts w:ascii="Arial" w:hAnsi="Arial" w:cs="Arial"/>
        </w:rPr>
        <w:t xml:space="preserve"> visini od 82% u odnosu na</w:t>
      </w:r>
      <w:r w:rsidRPr="00C42251">
        <w:rPr>
          <w:rFonts w:ascii="Arial" w:hAnsi="Arial" w:cs="Arial"/>
        </w:rPr>
        <w:t xml:space="preserve"> plan </w:t>
      </w:r>
      <w:r w:rsidR="00495E5F">
        <w:rPr>
          <w:rFonts w:ascii="Arial" w:hAnsi="Arial" w:cs="Arial"/>
        </w:rPr>
        <w:t>i iznose</w:t>
      </w:r>
      <w:r w:rsidRPr="00C42251">
        <w:rPr>
          <w:rFonts w:ascii="Arial" w:hAnsi="Arial" w:cs="Arial"/>
        </w:rPr>
        <w:t xml:space="preserve"> </w:t>
      </w:r>
      <w:r w:rsidR="00495E5F">
        <w:rPr>
          <w:rFonts w:ascii="Arial" w:hAnsi="Arial" w:cs="Arial"/>
        </w:rPr>
        <w:t>29%</w:t>
      </w:r>
      <w:r w:rsidRPr="00C42251">
        <w:rPr>
          <w:rFonts w:ascii="Arial" w:hAnsi="Arial" w:cs="Arial"/>
        </w:rPr>
        <w:t xml:space="preserve"> </w:t>
      </w:r>
      <w:r w:rsidR="00495E5F">
        <w:rPr>
          <w:rFonts w:ascii="Arial" w:hAnsi="Arial" w:cs="Arial"/>
        </w:rPr>
        <w:t>prošlogodišnjih rashoda.</w:t>
      </w:r>
    </w:p>
    <w:p w:rsidR="001C3F5E" w:rsidRPr="00C42251" w:rsidRDefault="001C3F5E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>U 2021. godini ostvareni su financijski rashodi u iznosu 14.840,44</w:t>
      </w:r>
      <w:r w:rsidR="00D767D6" w:rsidRPr="00C42251">
        <w:rPr>
          <w:rFonts w:ascii="Arial" w:hAnsi="Arial" w:cs="Arial"/>
        </w:rPr>
        <w:t>, tj.  oko 0,13</w:t>
      </w:r>
      <w:proofErr w:type="gramStart"/>
      <w:r w:rsidR="00E422BD" w:rsidRPr="00C42251">
        <w:rPr>
          <w:rFonts w:ascii="Arial" w:hAnsi="Arial" w:cs="Arial"/>
        </w:rPr>
        <w:t xml:space="preserve">% </w:t>
      </w:r>
      <w:r w:rsidR="00D767D6" w:rsidRPr="00C42251">
        <w:rPr>
          <w:rFonts w:ascii="Arial" w:hAnsi="Arial" w:cs="Arial"/>
        </w:rPr>
        <w:t xml:space="preserve"> </w:t>
      </w:r>
      <w:r w:rsidR="00E422BD" w:rsidRPr="00C42251">
        <w:rPr>
          <w:rFonts w:ascii="Arial" w:hAnsi="Arial" w:cs="Arial"/>
        </w:rPr>
        <w:t>ukupno</w:t>
      </w:r>
      <w:proofErr w:type="gramEnd"/>
      <w:r w:rsidR="00E422BD" w:rsidRPr="00C42251">
        <w:rPr>
          <w:rFonts w:ascii="Arial" w:hAnsi="Arial" w:cs="Arial"/>
        </w:rPr>
        <w:t xml:space="preserve"> realiziranih rashoda ustanove. N</w:t>
      </w:r>
      <w:r w:rsidRPr="00C42251">
        <w:rPr>
          <w:rFonts w:ascii="Arial" w:hAnsi="Arial" w:cs="Arial"/>
        </w:rPr>
        <w:t>ajvećim dijelom</w:t>
      </w:r>
      <w:r w:rsidR="00E422BD" w:rsidRPr="00C42251">
        <w:rPr>
          <w:rFonts w:ascii="Arial" w:hAnsi="Arial" w:cs="Arial"/>
        </w:rPr>
        <w:t xml:space="preserve"> se</w:t>
      </w:r>
      <w:r w:rsidRPr="00C42251">
        <w:rPr>
          <w:rFonts w:ascii="Arial" w:hAnsi="Arial" w:cs="Arial"/>
        </w:rPr>
        <w:t xml:space="preserve"> odnose na bankarske usluge i usluge platnog prometa.</w:t>
      </w:r>
    </w:p>
    <w:p w:rsidR="00E422BD" w:rsidRPr="00C42251" w:rsidRDefault="00E422BD" w:rsidP="00C42251">
      <w:pPr>
        <w:jc w:val="both"/>
        <w:rPr>
          <w:rFonts w:ascii="Arial" w:hAnsi="Arial" w:cs="Arial"/>
        </w:rPr>
      </w:pPr>
      <w:r w:rsidRPr="00C42251">
        <w:rPr>
          <w:rFonts w:ascii="Arial" w:hAnsi="Arial" w:cs="Arial"/>
        </w:rPr>
        <w:t xml:space="preserve">Rashodi za nabavu nefinancijske imovine u odnosu na prethodnu godinu smanjeni su za oko 54% i iznose 106.572,70 </w:t>
      </w:r>
      <w:proofErr w:type="gramStart"/>
      <w:r w:rsidRPr="00C42251">
        <w:rPr>
          <w:rFonts w:ascii="Arial" w:hAnsi="Arial" w:cs="Arial"/>
        </w:rPr>
        <w:t>kn .</w:t>
      </w:r>
      <w:proofErr w:type="gramEnd"/>
      <w:r w:rsidRPr="00C42251">
        <w:rPr>
          <w:rFonts w:ascii="Arial" w:hAnsi="Arial" w:cs="Arial"/>
        </w:rPr>
        <w:t xml:space="preserve">  Navedeni </w:t>
      </w:r>
      <w:proofErr w:type="gramStart"/>
      <w:r w:rsidRPr="00C42251">
        <w:rPr>
          <w:rFonts w:ascii="Arial" w:hAnsi="Arial" w:cs="Arial"/>
        </w:rPr>
        <w:t>rashodi  čine</w:t>
      </w:r>
      <w:proofErr w:type="gramEnd"/>
      <w:r w:rsidRPr="00C42251">
        <w:rPr>
          <w:rFonts w:ascii="Arial" w:hAnsi="Arial" w:cs="Arial"/>
        </w:rPr>
        <w:t xml:space="preserve"> ukupno 0,98% % ukupno ostvarenih rashoda u 2021.godini.</w:t>
      </w:r>
    </w:p>
    <w:p w:rsidR="00065D35" w:rsidRPr="00DB4FCA" w:rsidRDefault="00065D35" w:rsidP="00CB0A84">
      <w:pPr>
        <w:rPr>
          <w:rFonts w:cstheme="minorHAnsi"/>
        </w:rPr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907"/>
        <w:gridCol w:w="1732"/>
        <w:gridCol w:w="1296"/>
        <w:gridCol w:w="1282"/>
        <w:gridCol w:w="1308"/>
        <w:gridCol w:w="1371"/>
        <w:gridCol w:w="755"/>
        <w:gridCol w:w="755"/>
      </w:tblGrid>
      <w:tr w:rsidR="00D97EBB" w:rsidRPr="00D97EBB" w:rsidTr="00686BBC">
        <w:trPr>
          <w:trHeight w:val="300"/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BB" w:rsidRPr="00D97EBB" w:rsidRDefault="00D97EBB" w:rsidP="00D9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BB" w:rsidRPr="00B66FAC" w:rsidRDefault="006C0487" w:rsidP="00D9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FAC">
              <w:rPr>
                <w:rFonts w:ascii="Arial" w:eastAsia="Times New Roman" w:hAnsi="Arial" w:cs="Arial"/>
                <w:b/>
                <w:bCs/>
                <w:color w:val="000000"/>
              </w:rPr>
              <w:t>PRIHODI I PRIMI</w:t>
            </w:r>
            <w:r w:rsidR="00D97EBB" w:rsidRPr="00B66FAC">
              <w:rPr>
                <w:rFonts w:ascii="Arial" w:eastAsia="Times New Roman" w:hAnsi="Arial" w:cs="Arial"/>
                <w:b/>
                <w:bCs/>
                <w:color w:val="000000"/>
              </w:rPr>
              <w:t>CI</w:t>
            </w:r>
          </w:p>
          <w:p w:rsidR="000A4716" w:rsidRPr="000A4716" w:rsidRDefault="000A4716" w:rsidP="00D9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4716" w:rsidRPr="00D97EBB" w:rsidRDefault="000A4716" w:rsidP="00D9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BBC" w:rsidRPr="00D97EBB" w:rsidTr="00686BBC">
        <w:trPr>
          <w:trHeight w:val="97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Račun prihoda /</w:t>
            </w: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primitaka</w:t>
            </w:r>
          </w:p>
          <w:p w:rsidR="00686BBC" w:rsidRPr="00F96D97" w:rsidRDefault="00686BBC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Račun prihoda i primitaka i naziv računa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Ostvarenje /izvršenje 2020.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Izvorni plan  2021.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Tekući plan</w:t>
            </w: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sz w:val="16"/>
                <w:szCs w:val="16"/>
              </w:rPr>
              <w:t>Ostvarenje /izvršenje 2021.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D97EBB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6= 5/2*100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7= 5/4*100</w:t>
            </w:r>
          </w:p>
        </w:tc>
      </w:tr>
      <w:tr w:rsidR="00686BBC" w:rsidRPr="000A4716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86BBC" w:rsidRPr="000A4716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86BBC" w:rsidRPr="000A4716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0A4716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114,73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686BBC" w:rsidRPr="000A4716" w:rsidTr="00686BBC">
        <w:trPr>
          <w:trHeight w:val="33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6413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114,73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686BBC" w:rsidRPr="000A4716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0A4716" w:rsidTr="00686BBC">
        <w:trPr>
          <w:trHeight w:val="34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Prihodi od prodaje proizvoda i robe te </w:t>
            </w: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pruženih usluga i prihodi od donacija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238.088,18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450.00,00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387.571,30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686BBC" w:rsidRPr="00686BBC" w:rsidTr="00686BBC">
        <w:trPr>
          <w:trHeight w:val="34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6614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od prodaje proizvoda i robe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166.565,07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247.600,00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247.600,00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249.894,40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6615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od pruženih usluga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17.878,11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89.569,90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6631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6632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46.645,00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iz nadležnog proračuna i od HZZO-a temeljem ugovornih obveza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10.437.360,26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10.448.441,88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10.437.360,26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10.597.500,00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10.597.500,00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10.364.726,00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6712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iz nadležnog proračuna za financiranje rashoda za nabavu nefin. imovine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BC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83.715,88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41.137,20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5.</w:t>
            </w:r>
            <w:r w:rsidR="00686BBC"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5.063,50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41.137,20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5.1</w:t>
            </w:r>
            <w:r w:rsidR="00D97EBB"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5.063,50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791,64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7211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Stambeni objekti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791,64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PRIHODI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10.790.492,01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11.168.000,00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11.168.000,00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10.851.855,55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86BBC" w:rsidRPr="00686BBC" w:rsidTr="00686BBC">
        <w:trPr>
          <w:trHeight w:val="25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D97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PRIHODI + VIŠAK KORIŠTEN ZA POKRIĆE RASHODA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11.151.458,85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686BBC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11.087.830,35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EBB" w:rsidRPr="00F96D97" w:rsidRDefault="00D97EBB" w:rsidP="00686B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</w:tbl>
    <w:p w:rsidR="00D767D6" w:rsidRPr="00686BBC" w:rsidRDefault="00D767D6" w:rsidP="00CB0A84">
      <w:pPr>
        <w:rPr>
          <w:rFonts w:ascii="Arial" w:hAnsi="Arial" w:cs="Arial"/>
          <w:color w:val="FF0000"/>
          <w:sz w:val="16"/>
          <w:szCs w:val="16"/>
        </w:rPr>
      </w:pPr>
    </w:p>
    <w:p w:rsidR="009A4315" w:rsidRDefault="009A4315" w:rsidP="00CB0A84">
      <w:pPr>
        <w:rPr>
          <w:rFonts w:cstheme="minorHAnsi"/>
          <w:color w:val="FF0000"/>
        </w:rPr>
      </w:pPr>
    </w:p>
    <w:p w:rsidR="009A4315" w:rsidRPr="00B66FAC" w:rsidRDefault="009A4315" w:rsidP="006C0487">
      <w:pPr>
        <w:jc w:val="both"/>
        <w:rPr>
          <w:rFonts w:ascii="Arial" w:hAnsi="Arial" w:cs="Arial"/>
        </w:rPr>
      </w:pPr>
      <w:r w:rsidRPr="00B66FAC">
        <w:rPr>
          <w:rFonts w:ascii="Arial" w:hAnsi="Arial" w:cs="Arial"/>
        </w:rPr>
        <w:t>Planirani prihodi koji su analitično prikazani u nastavku ovog obrazloženja ostvareni su u visini od 11.087.830,35 kn što čini 97</w:t>
      </w:r>
      <w:r w:rsidR="006C0487" w:rsidRPr="00B66FAC">
        <w:rPr>
          <w:rFonts w:ascii="Arial" w:hAnsi="Arial" w:cs="Arial"/>
        </w:rPr>
        <w:t xml:space="preserve"> </w:t>
      </w:r>
      <w:r w:rsidRPr="00B66FAC">
        <w:rPr>
          <w:rFonts w:ascii="Arial" w:hAnsi="Arial" w:cs="Arial"/>
        </w:rPr>
        <w:t>% ukupno planiranih prihoda s uključenim prenesenim viškom prihoda u iznosu od 23</w:t>
      </w:r>
      <w:r w:rsidR="00F65D85" w:rsidRPr="00B66FAC">
        <w:rPr>
          <w:rFonts w:ascii="Arial" w:hAnsi="Arial" w:cs="Arial"/>
        </w:rPr>
        <w:t>5.974,80 kn.</w:t>
      </w:r>
    </w:p>
    <w:p w:rsidR="00F65D85" w:rsidRPr="00B66FAC" w:rsidRDefault="00F65D85" w:rsidP="006C0487">
      <w:pPr>
        <w:jc w:val="both"/>
        <w:rPr>
          <w:rFonts w:ascii="Arial" w:hAnsi="Arial" w:cs="Arial"/>
        </w:rPr>
      </w:pPr>
      <w:r w:rsidRPr="00B66FAC">
        <w:rPr>
          <w:rFonts w:ascii="Arial" w:hAnsi="Arial" w:cs="Arial"/>
        </w:rPr>
        <w:t>U odnosu na prethodnu godinu kad je ostvareno 10.790.492,01 kn</w:t>
      </w:r>
      <w:r w:rsidR="00B66FAC">
        <w:rPr>
          <w:rFonts w:ascii="Arial" w:hAnsi="Arial" w:cs="Arial"/>
        </w:rPr>
        <w:t>,</w:t>
      </w:r>
      <w:r w:rsidRPr="00B66FAC">
        <w:rPr>
          <w:rFonts w:ascii="Arial" w:hAnsi="Arial" w:cs="Arial"/>
        </w:rPr>
        <w:t xml:space="preserve"> u 2021.godini ostvareno je 10.851.855,55 kn što </w:t>
      </w:r>
      <w:proofErr w:type="gramStart"/>
      <w:r w:rsidRPr="00B66FAC">
        <w:rPr>
          <w:rFonts w:ascii="Arial" w:hAnsi="Arial" w:cs="Arial"/>
        </w:rPr>
        <w:t>je  1</w:t>
      </w:r>
      <w:proofErr w:type="gramEnd"/>
      <w:r w:rsidRPr="00B66FAC">
        <w:rPr>
          <w:rFonts w:ascii="Arial" w:hAnsi="Arial" w:cs="Arial"/>
        </w:rPr>
        <w:t>% više prihoda .</w:t>
      </w:r>
    </w:p>
    <w:p w:rsidR="00F827F8" w:rsidRPr="00F96D97" w:rsidRDefault="009A4315" w:rsidP="006C0487">
      <w:pPr>
        <w:jc w:val="both"/>
        <w:rPr>
          <w:rFonts w:ascii="Arial" w:hAnsi="Arial" w:cs="Arial"/>
        </w:rPr>
      </w:pPr>
      <w:r w:rsidRPr="00B66FAC">
        <w:rPr>
          <w:rFonts w:ascii="Arial" w:hAnsi="Arial" w:cs="Arial"/>
        </w:rPr>
        <w:t>Omjerom ostvarenih prihoda i rashoda u izvještajnoj godini te uključivanjem prenesenog viška prihoda poslovanja ustanova je ostvarila suficit odnosno pozitivni poslovni rezu</w:t>
      </w:r>
      <w:r w:rsidR="00F96D97">
        <w:rPr>
          <w:rFonts w:ascii="Arial" w:hAnsi="Arial" w:cs="Arial"/>
        </w:rPr>
        <w:t>ltat u iznosu od 181.781,28 kn.</w:t>
      </w: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4520"/>
        <w:gridCol w:w="1423"/>
        <w:gridCol w:w="2040"/>
        <w:gridCol w:w="1423"/>
      </w:tblGrid>
      <w:tr w:rsidR="009A4315" w:rsidRPr="009A4315" w:rsidTr="00F96D97">
        <w:trPr>
          <w:trHeight w:val="69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PRIHODI /RASHODI TEKUĆA GODINA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2020.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PLAN PRORAČUNA 2021.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2021.</w:t>
            </w:r>
          </w:p>
        </w:tc>
      </w:tr>
      <w:tr w:rsidR="009A4315" w:rsidRPr="009A4315" w:rsidTr="00F96D97">
        <w:trPr>
          <w:trHeight w:val="34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PRIHODI UKUPNO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11.151.458,85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11.168.000,00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10.851.855,55    </w:t>
            </w:r>
          </w:p>
        </w:tc>
      </w:tr>
      <w:tr w:rsidR="009A4315" w:rsidRPr="009A4315" w:rsidTr="00F96D97">
        <w:trPr>
          <w:trHeight w:val="36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11.150.667,21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11.167.200,00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10.851.105,73    </w:t>
            </w:r>
          </w:p>
        </w:tc>
      </w:tr>
      <w:tr w:rsidR="009A4315" w:rsidRPr="009A4315" w:rsidTr="00F96D97">
        <w:trPr>
          <w:trHeight w:val="34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PRIHODI OD PRODAJE NEFINANCIJSKE IMOVINE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791,64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         800,00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749,82    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RASHODI UKUPNO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10.915.484,05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11.168.000,00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10.906.049,07    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10.681.264,94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11.012.700,00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10.799.476,37    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RASHODI ZA NEFINANCIJSKU IMOVINU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234.219,11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   155.300,00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106.572,70    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RAZLIKA -VIŠAK / MANJAK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235.974,80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                -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          54.193,52    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A4315" w:rsidRPr="009A4315" w:rsidTr="00F96D97">
        <w:trPr>
          <w:trHeight w:val="6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VIŠKOVI / MANJKOVI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PLAN PRORAČUNA 2021.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2021.</w:t>
            </w:r>
          </w:p>
        </w:tc>
      </w:tr>
      <w:tr w:rsidR="009A4315" w:rsidRPr="009A4315" w:rsidTr="00F96D97">
        <w:trPr>
          <w:trHeight w:val="2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UKUPAN DONOS VIŠKA/MANJKA IZ PRETHODNE GODINE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   235.974,80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235.974,80    </w:t>
            </w:r>
          </w:p>
        </w:tc>
      </w:tr>
      <w:tr w:rsidR="009A4315" w:rsidRPr="009A4315" w:rsidTr="00F96D97">
        <w:trPr>
          <w:trHeight w:val="6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VIŠAK IZ PRETHODNE GODINE KOJI ĆE SE RASPOREDITI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235.974,80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               235.974,80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235.974,80    </w:t>
            </w:r>
          </w:p>
        </w:tc>
      </w:tr>
      <w:tr w:rsidR="009A4315" w:rsidRPr="009A4315" w:rsidTr="00F96D97">
        <w:trPr>
          <w:trHeight w:val="54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RAČUN FINANCIRANJA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PLAN PRORAČUNA 2021.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IZVRŠENJE 2021.</w:t>
            </w:r>
          </w:p>
        </w:tc>
      </w:tr>
      <w:tr w:rsidR="009A4315" w:rsidRPr="009A4315" w:rsidTr="00F96D97">
        <w:trPr>
          <w:trHeight w:val="42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9A4315" w:rsidRPr="009A4315" w:rsidTr="00F96D97">
        <w:trPr>
          <w:trHeight w:val="43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9A4315" w:rsidRPr="009A4315" w:rsidTr="00F96D97">
        <w:trPr>
          <w:trHeight w:val="40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9A43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NETO FINANCIRANJE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96D97" w:rsidRDefault="009A4315" w:rsidP="00F827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</w:tbl>
    <w:p w:rsidR="009A4315" w:rsidRDefault="009A4315" w:rsidP="009A4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1463"/>
      </w:tblGrid>
      <w:tr w:rsidR="006B436E" w:rsidTr="006B436E">
        <w:trPr>
          <w:trHeight w:val="431"/>
        </w:trPr>
        <w:tc>
          <w:tcPr>
            <w:tcW w:w="4531" w:type="dxa"/>
          </w:tcPr>
          <w:p w:rsidR="006B436E" w:rsidRDefault="006B436E" w:rsidP="009A4315">
            <w:r w:rsidRPr="00F96D97">
              <w:rPr>
                <w:rFonts w:eastAsia="Times New Roman" w:cstheme="minorHAnsi"/>
                <w:color w:val="000000"/>
                <w:sz w:val="18"/>
                <w:szCs w:val="18"/>
              </w:rPr>
              <w:t>VIŠAK/MANJAK+NETO FINANCIRANJE</w:t>
            </w:r>
          </w:p>
        </w:tc>
        <w:tc>
          <w:tcPr>
            <w:tcW w:w="1418" w:type="dxa"/>
          </w:tcPr>
          <w:p w:rsidR="006B436E" w:rsidRDefault="006B436E" w:rsidP="009A4315">
            <w:r>
              <w:t>-</w:t>
            </w:r>
          </w:p>
        </w:tc>
        <w:tc>
          <w:tcPr>
            <w:tcW w:w="1984" w:type="dxa"/>
          </w:tcPr>
          <w:p w:rsidR="006B436E" w:rsidRDefault="006B436E" w:rsidP="009A4315">
            <w:r>
              <w:t>-</w:t>
            </w:r>
          </w:p>
        </w:tc>
        <w:tc>
          <w:tcPr>
            <w:tcW w:w="1463" w:type="dxa"/>
          </w:tcPr>
          <w:p w:rsidR="006B436E" w:rsidRDefault="006B436E" w:rsidP="009A4315">
            <w:r>
              <w:t>-</w:t>
            </w:r>
          </w:p>
        </w:tc>
      </w:tr>
    </w:tbl>
    <w:p w:rsidR="006B436E" w:rsidRPr="006B436E" w:rsidRDefault="006B436E" w:rsidP="009A4315">
      <w:pPr>
        <w:rPr>
          <w:rFonts w:ascii="Arial" w:hAnsi="Arial" w:cs="Arial"/>
        </w:rPr>
      </w:pPr>
    </w:p>
    <w:p w:rsidR="009A4315" w:rsidRPr="006B436E" w:rsidRDefault="00CC6D84" w:rsidP="00F827F8">
      <w:pPr>
        <w:jc w:val="both"/>
        <w:rPr>
          <w:rFonts w:ascii="Arial" w:hAnsi="Arial" w:cs="Arial"/>
        </w:rPr>
      </w:pPr>
      <w:r w:rsidRPr="006B436E">
        <w:rPr>
          <w:rFonts w:ascii="Arial" w:hAnsi="Arial" w:cs="Arial"/>
        </w:rPr>
        <w:t xml:space="preserve">Prihod iz nadležnog proračuna Grada koji </w:t>
      </w:r>
      <w:r w:rsidR="00F827F8" w:rsidRPr="006B436E">
        <w:rPr>
          <w:rFonts w:ascii="Arial" w:hAnsi="Arial" w:cs="Arial"/>
        </w:rPr>
        <w:t>je vrijednosno najznačajniji pr</w:t>
      </w:r>
      <w:r w:rsidRPr="006B436E">
        <w:rPr>
          <w:rFonts w:ascii="Arial" w:hAnsi="Arial" w:cs="Arial"/>
        </w:rPr>
        <w:t xml:space="preserve">ihod ustanove planiran je u visini 10.702.000,00 kn a ostvaren je u iznosu 10.448.441,88 kn tj. 98%. Prihod iz nadležnog proračuna čini </w:t>
      </w:r>
      <w:r w:rsidR="00F827F8" w:rsidRPr="006B436E">
        <w:rPr>
          <w:rFonts w:ascii="Arial" w:hAnsi="Arial" w:cs="Arial"/>
        </w:rPr>
        <w:t>96,28 % ukupnih prihoda ustanov</w:t>
      </w:r>
      <w:r w:rsidRPr="006B436E">
        <w:rPr>
          <w:rFonts w:ascii="Arial" w:hAnsi="Arial" w:cs="Arial"/>
        </w:rPr>
        <w:t>e</w:t>
      </w:r>
      <w:r w:rsidR="00F827F8" w:rsidRPr="006B436E">
        <w:rPr>
          <w:rFonts w:ascii="Arial" w:hAnsi="Arial" w:cs="Arial"/>
        </w:rPr>
        <w:t xml:space="preserve">, </w:t>
      </w:r>
      <w:r w:rsidRPr="006B436E">
        <w:rPr>
          <w:rFonts w:ascii="Arial" w:hAnsi="Arial" w:cs="Arial"/>
        </w:rPr>
        <w:t>a isti je utrošen za podmirenje rashoda za zaposlene,</w:t>
      </w:r>
      <w:r w:rsidR="00F827F8" w:rsidRPr="006B436E">
        <w:rPr>
          <w:rFonts w:ascii="Arial" w:hAnsi="Arial" w:cs="Arial"/>
        </w:rPr>
        <w:t xml:space="preserve"> materijalne i fina</w:t>
      </w:r>
      <w:r w:rsidRPr="006B436E">
        <w:rPr>
          <w:rFonts w:ascii="Arial" w:hAnsi="Arial" w:cs="Arial"/>
        </w:rPr>
        <w:t>ncijske rashode,</w:t>
      </w:r>
      <w:r w:rsidR="00F827F8" w:rsidRPr="006B436E">
        <w:rPr>
          <w:rFonts w:ascii="Arial" w:hAnsi="Arial" w:cs="Arial"/>
        </w:rPr>
        <w:t xml:space="preserve"> </w:t>
      </w:r>
      <w:r w:rsidRPr="006B436E">
        <w:rPr>
          <w:rFonts w:ascii="Arial" w:hAnsi="Arial" w:cs="Arial"/>
        </w:rPr>
        <w:t>rashode nastale realizacijom programskih aktivnosti te rashode za nabavu nefinancijske imovine</w:t>
      </w:r>
      <w:r w:rsidR="00F827F8" w:rsidRPr="006B436E">
        <w:rPr>
          <w:rFonts w:ascii="Arial" w:hAnsi="Arial" w:cs="Arial"/>
        </w:rPr>
        <w:t>,</w:t>
      </w:r>
      <w:r w:rsidRPr="006B436E">
        <w:rPr>
          <w:rFonts w:ascii="Arial" w:hAnsi="Arial" w:cs="Arial"/>
        </w:rPr>
        <w:t xml:space="preserve"> koji su planirani i ostvareni u manjem iznosu u odnosu na isto izvještajno razdoblje prethodne godine. </w:t>
      </w:r>
    </w:p>
    <w:p w:rsidR="00814F08" w:rsidRPr="006B436E" w:rsidRDefault="00F827F8" w:rsidP="00F827F8">
      <w:pPr>
        <w:jc w:val="both"/>
        <w:rPr>
          <w:rFonts w:ascii="Arial" w:hAnsi="Arial" w:cs="Arial"/>
        </w:rPr>
      </w:pPr>
      <w:r w:rsidRPr="006B436E">
        <w:rPr>
          <w:rFonts w:ascii="Arial" w:hAnsi="Arial" w:cs="Arial"/>
        </w:rPr>
        <w:t>P</w:t>
      </w:r>
      <w:r w:rsidR="00814F08" w:rsidRPr="006B436E">
        <w:rPr>
          <w:rFonts w:ascii="Arial" w:hAnsi="Arial" w:cs="Arial"/>
        </w:rPr>
        <w:t>rihodi od prodaje proizvoda i robe te pružanja usluga te prihodi od donacija planirani su u visini 450.000,00 kn a ostvareni u iznosu 387.57</w:t>
      </w:r>
      <w:r w:rsidR="0069286D" w:rsidRPr="006B436E">
        <w:rPr>
          <w:rFonts w:ascii="Arial" w:hAnsi="Arial" w:cs="Arial"/>
        </w:rPr>
        <w:t>1,30 kn što čini 86% planiranih i</w:t>
      </w:r>
      <w:r w:rsidR="00814F08" w:rsidRPr="006B436E">
        <w:rPr>
          <w:rFonts w:ascii="Arial" w:hAnsi="Arial" w:cs="Arial"/>
        </w:rPr>
        <w:t xml:space="preserve"> čine </w:t>
      </w:r>
      <w:r w:rsidR="0069286D" w:rsidRPr="006B436E">
        <w:rPr>
          <w:rFonts w:ascii="Arial" w:hAnsi="Arial" w:cs="Arial"/>
        </w:rPr>
        <w:t xml:space="preserve">3,57 % ukupno ostvarenih prihoda. </w:t>
      </w:r>
    </w:p>
    <w:p w:rsidR="00814F08" w:rsidRPr="006B436E" w:rsidRDefault="0069286D" w:rsidP="00F827F8">
      <w:pPr>
        <w:jc w:val="both"/>
        <w:rPr>
          <w:rFonts w:ascii="Arial" w:hAnsi="Arial" w:cs="Arial"/>
        </w:rPr>
      </w:pPr>
      <w:r w:rsidRPr="006B436E">
        <w:rPr>
          <w:rFonts w:ascii="Arial" w:hAnsi="Arial" w:cs="Arial"/>
        </w:rPr>
        <w:t>Priho</w:t>
      </w:r>
      <w:r w:rsidR="00F96D97" w:rsidRPr="006B436E">
        <w:rPr>
          <w:rFonts w:ascii="Arial" w:hAnsi="Arial" w:cs="Arial"/>
        </w:rPr>
        <w:t xml:space="preserve">di od prodaje proizvoda i robe </w:t>
      </w:r>
      <w:r w:rsidRPr="006B436E">
        <w:rPr>
          <w:rFonts w:ascii="Arial" w:hAnsi="Arial" w:cs="Arial"/>
        </w:rPr>
        <w:t xml:space="preserve">iznosili su </w:t>
      </w:r>
      <w:r w:rsidR="00A67B54" w:rsidRPr="006B436E">
        <w:rPr>
          <w:rFonts w:ascii="Arial" w:hAnsi="Arial" w:cs="Arial"/>
        </w:rPr>
        <w:t xml:space="preserve">u 2020. godini </w:t>
      </w:r>
      <w:r w:rsidRPr="006B436E">
        <w:rPr>
          <w:rFonts w:ascii="Arial" w:hAnsi="Arial" w:cs="Arial"/>
        </w:rPr>
        <w:t xml:space="preserve">166.565.07 kn, a u 2021. </w:t>
      </w:r>
      <w:r w:rsidR="00EB24D9" w:rsidRPr="006B436E">
        <w:rPr>
          <w:rFonts w:ascii="Arial" w:hAnsi="Arial" w:cs="Arial"/>
        </w:rPr>
        <w:t>G</w:t>
      </w:r>
      <w:r w:rsidRPr="006B436E">
        <w:rPr>
          <w:rFonts w:ascii="Arial" w:hAnsi="Arial" w:cs="Arial"/>
        </w:rPr>
        <w:t>odini</w:t>
      </w:r>
      <w:r w:rsidR="00EB24D9">
        <w:rPr>
          <w:rFonts w:ascii="Arial" w:hAnsi="Arial" w:cs="Arial"/>
        </w:rPr>
        <w:t xml:space="preserve"> iznose</w:t>
      </w:r>
      <w:r w:rsidRPr="006B436E">
        <w:rPr>
          <w:rFonts w:ascii="Arial" w:hAnsi="Arial" w:cs="Arial"/>
        </w:rPr>
        <w:t xml:space="preserve"> 249.894,40 kn što je povećanje od 50%.</w:t>
      </w:r>
      <w:r w:rsidR="00A67B54" w:rsidRPr="006B436E">
        <w:rPr>
          <w:rFonts w:ascii="Arial" w:hAnsi="Arial" w:cs="Arial"/>
        </w:rPr>
        <w:t xml:space="preserve"> Razlog tome je </w:t>
      </w:r>
      <w:r w:rsidR="00814F08" w:rsidRPr="006B436E">
        <w:rPr>
          <w:rFonts w:ascii="Arial" w:hAnsi="Arial" w:cs="Arial"/>
        </w:rPr>
        <w:t>veći broj posjetitelja u 2021. godini zbog poboljšanja epidemiološke s</w:t>
      </w:r>
      <w:r w:rsidR="00A67B54" w:rsidRPr="006B436E">
        <w:rPr>
          <w:rFonts w:ascii="Arial" w:hAnsi="Arial" w:cs="Arial"/>
        </w:rPr>
        <w:t>ituacije što je rezultiralo većoj</w:t>
      </w:r>
      <w:r w:rsidR="00814F08" w:rsidRPr="006B436E">
        <w:rPr>
          <w:rFonts w:ascii="Arial" w:hAnsi="Arial" w:cs="Arial"/>
        </w:rPr>
        <w:t xml:space="preserve"> prodaji naših suvenira. </w:t>
      </w:r>
    </w:p>
    <w:p w:rsidR="00A67B54" w:rsidRPr="00590F9C" w:rsidRDefault="00A67B54" w:rsidP="00CF5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36E">
        <w:rPr>
          <w:rFonts w:ascii="Arial" w:hAnsi="Arial" w:cs="Arial"/>
        </w:rPr>
        <w:t>Prihodi od pružanja usluga također su povećani u odnosu na 2020. godinu i iznose 89.569,90 kn zbog većeg broja najmova atrija Kneževa Dvora</w:t>
      </w:r>
      <w:r w:rsidR="0029055A" w:rsidRPr="006B436E">
        <w:rPr>
          <w:rFonts w:ascii="Arial" w:hAnsi="Arial" w:cs="Arial"/>
        </w:rPr>
        <w:t xml:space="preserve"> te arheološkog nadzora</w:t>
      </w:r>
      <w:r w:rsidRPr="006B436E">
        <w:rPr>
          <w:rFonts w:ascii="Arial" w:hAnsi="Arial" w:cs="Arial"/>
        </w:rPr>
        <w:t xml:space="preserve"> našeg višeg kustosa</w:t>
      </w:r>
      <w:r w:rsidR="0029055A" w:rsidRPr="006B436E">
        <w:rPr>
          <w:rFonts w:ascii="Arial" w:hAnsi="Arial" w:cs="Arial"/>
        </w:rPr>
        <w:t xml:space="preserve"> pri izvođenju zahvata: Rekonstrukcija DC 235, dionica Rudine –Čepikuće, Dubrovačko primorje</w:t>
      </w:r>
      <w:r w:rsidR="00CF59BB" w:rsidRPr="006B436E">
        <w:rPr>
          <w:rFonts w:ascii="Arial" w:hAnsi="Arial" w:cs="Arial"/>
        </w:rPr>
        <w:t xml:space="preserve">. </w:t>
      </w:r>
      <w:r w:rsidR="0029055A" w:rsidRPr="006B436E">
        <w:rPr>
          <w:rFonts w:ascii="Arial" w:hAnsi="Arial" w:cs="Arial"/>
        </w:rPr>
        <w:t xml:space="preserve"> To </w:t>
      </w:r>
      <w:r w:rsidRPr="006B436E">
        <w:rPr>
          <w:rFonts w:ascii="Arial" w:hAnsi="Arial" w:cs="Arial"/>
        </w:rPr>
        <w:t>povećanje je 401%. Ti prihodi ostvareni su u visini</w:t>
      </w:r>
      <w:r w:rsidR="00590F9C" w:rsidRPr="006B436E">
        <w:rPr>
          <w:rFonts w:ascii="Arial" w:hAnsi="Arial" w:cs="Arial"/>
        </w:rPr>
        <w:t xml:space="preserve"> 93% planiranih prihoda </w:t>
      </w:r>
      <w:r w:rsidR="00AC40CE" w:rsidRPr="006B436E">
        <w:rPr>
          <w:rFonts w:ascii="Arial" w:hAnsi="Arial" w:cs="Arial"/>
        </w:rPr>
        <w:t>Izvornog plana</w:t>
      </w:r>
      <w:r w:rsidR="00AC40CE">
        <w:rPr>
          <w:rFonts w:ascii="Arial" w:hAnsi="Arial" w:cs="Arial"/>
        </w:rPr>
        <w:t>.</w:t>
      </w:r>
    </w:p>
    <w:p w:rsidR="00CF59BB" w:rsidRPr="00590F9C" w:rsidRDefault="00CF59BB" w:rsidP="00CF5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0D21" w:rsidRPr="00590F9C" w:rsidRDefault="00A40D21" w:rsidP="0029055A">
      <w:pPr>
        <w:jc w:val="both"/>
        <w:rPr>
          <w:rFonts w:ascii="Arial" w:hAnsi="Arial" w:cs="Arial"/>
        </w:rPr>
      </w:pPr>
      <w:r w:rsidRPr="00590F9C">
        <w:rPr>
          <w:rFonts w:ascii="Arial" w:hAnsi="Arial" w:cs="Arial"/>
        </w:rPr>
        <w:lastRenderedPageBreak/>
        <w:t>Tekuće</w:t>
      </w:r>
      <w:r w:rsidR="00521BF3" w:rsidRPr="00590F9C">
        <w:rPr>
          <w:rFonts w:ascii="Arial" w:hAnsi="Arial" w:cs="Arial"/>
        </w:rPr>
        <w:t xml:space="preserve"> donacije odnose se na prihode koja ustanova ostvaruje temeljem posudbe određenih predmeta muzejske građe temeljem ugovora o posudbi i namjenski se koriste za restauraciju i preventivnu zaštitu predmeta koji se čuvaju u Kulturno-povijesnom muzeju.</w:t>
      </w:r>
    </w:p>
    <w:p w:rsidR="00A40D21" w:rsidRPr="00590F9C" w:rsidRDefault="00A40D21" w:rsidP="0029055A">
      <w:pPr>
        <w:jc w:val="both"/>
        <w:rPr>
          <w:rFonts w:ascii="Arial" w:hAnsi="Arial" w:cs="Arial"/>
        </w:rPr>
      </w:pPr>
      <w:r w:rsidRPr="00590F9C">
        <w:rPr>
          <w:rFonts w:ascii="Arial" w:hAnsi="Arial" w:cs="Arial"/>
        </w:rPr>
        <w:t>Kapitalne donacije odnose se na procijenjenu vrijednost muzejske građe koja je darovana od fizičkih osoba temeljem ugovora o donacijama što je povećalo muzejski fond i imovinu ustanove i ostvareni su oko 44%.</w:t>
      </w:r>
    </w:p>
    <w:p w:rsidR="00A40D21" w:rsidRPr="00590F9C" w:rsidRDefault="00A40D21" w:rsidP="00A40D21">
      <w:pPr>
        <w:jc w:val="both"/>
        <w:rPr>
          <w:rFonts w:ascii="Arial" w:hAnsi="Arial" w:cs="Arial"/>
        </w:rPr>
      </w:pPr>
      <w:r w:rsidRPr="00590F9C">
        <w:rPr>
          <w:rFonts w:ascii="Arial" w:hAnsi="Arial" w:cs="Arial"/>
        </w:rPr>
        <w:t>Ostali prihodi najvećim dijelom se odnose na prodaju Dubrovačke kartice i realizirani su u manjem iznosu.</w:t>
      </w:r>
    </w:p>
    <w:p w:rsidR="00521BF3" w:rsidRDefault="00A40D21" w:rsidP="00A40D21">
      <w:pPr>
        <w:jc w:val="both"/>
        <w:rPr>
          <w:rFonts w:ascii="Arial" w:hAnsi="Arial" w:cs="Arial"/>
        </w:rPr>
      </w:pPr>
      <w:r w:rsidRPr="00590F9C">
        <w:rPr>
          <w:rFonts w:ascii="Arial" w:hAnsi="Arial" w:cs="Arial"/>
        </w:rPr>
        <w:t xml:space="preserve">Pomoći iz inozemstva i od subjekata unutar općeg proračuna odnose se na sredstva, koja </w:t>
      </w:r>
      <w:proofErr w:type="gramStart"/>
      <w:r w:rsidRPr="00590F9C">
        <w:rPr>
          <w:rFonts w:ascii="Arial" w:hAnsi="Arial" w:cs="Arial"/>
        </w:rPr>
        <w:t>je  Ministarstvo</w:t>
      </w:r>
      <w:proofErr w:type="gramEnd"/>
      <w:r w:rsidRPr="00590F9C">
        <w:rPr>
          <w:rFonts w:ascii="Arial" w:hAnsi="Arial" w:cs="Arial"/>
        </w:rPr>
        <w:t xml:space="preserve"> kulture odobrilo za realizaciju j</w:t>
      </w:r>
      <w:r w:rsidR="00F96D97">
        <w:rPr>
          <w:rFonts w:ascii="Arial" w:hAnsi="Arial" w:cs="Arial"/>
        </w:rPr>
        <w:t xml:space="preserve">edne izložbe i ta </w:t>
      </w:r>
      <w:r w:rsidRPr="00590F9C">
        <w:rPr>
          <w:rFonts w:ascii="Arial" w:hAnsi="Arial" w:cs="Arial"/>
        </w:rPr>
        <w:t>sredstva</w:t>
      </w:r>
      <w:r w:rsidR="00F96D97">
        <w:rPr>
          <w:rFonts w:ascii="Arial" w:hAnsi="Arial" w:cs="Arial"/>
        </w:rPr>
        <w:t xml:space="preserve"> su u </w:t>
      </w:r>
      <w:r w:rsidRPr="00590F9C">
        <w:rPr>
          <w:rFonts w:ascii="Arial" w:hAnsi="Arial" w:cs="Arial"/>
        </w:rPr>
        <w:t xml:space="preserve">cijelosti utrošena i opravdana Ministarstvu kulture. </w:t>
      </w:r>
    </w:p>
    <w:p w:rsidR="00AC40CE" w:rsidRPr="00AC40CE" w:rsidRDefault="00AC40CE" w:rsidP="00A40D21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406" w:type="dxa"/>
        <w:tblLook w:val="04A0" w:firstRow="1" w:lastRow="0" w:firstColumn="1" w:lastColumn="0" w:noHBand="0" w:noVBand="1"/>
      </w:tblPr>
      <w:tblGrid>
        <w:gridCol w:w="3529"/>
        <w:gridCol w:w="1394"/>
        <w:gridCol w:w="1394"/>
        <w:gridCol w:w="2166"/>
        <w:gridCol w:w="923"/>
      </w:tblGrid>
      <w:tr w:rsidR="00C7220A" w:rsidRPr="00C7220A" w:rsidTr="00EB24D9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20A">
              <w:rPr>
                <w:rFonts w:ascii="Arial" w:eastAsia="Times New Roman" w:hAnsi="Arial" w:cs="Arial"/>
                <w:b/>
                <w:bCs/>
                <w:color w:val="000000"/>
              </w:rPr>
              <w:t>PREGLED UKUPNIH PRIHODA I RASHODA PO IZVORIMA FINANCIRANJA</w:t>
            </w:r>
          </w:p>
        </w:tc>
      </w:tr>
      <w:tr w:rsidR="00C7220A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0A" w:rsidRPr="00C7220A" w:rsidRDefault="00C7220A" w:rsidP="00E7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20A" w:rsidRPr="00C7220A" w:rsidTr="00EB24D9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Naziv izvora financiranja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Izvorni plan 2021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Tekući plan 2021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Ostvarenje /izvršenje 2021.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Indeks</w:t>
            </w:r>
          </w:p>
        </w:tc>
      </w:tr>
      <w:tr w:rsidR="00C7220A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5= 4/3*100</w:t>
            </w:r>
          </w:p>
        </w:tc>
      </w:tr>
      <w:tr w:rsidR="00C7220A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0A" w:rsidRPr="00F96D97" w:rsidRDefault="00C7220A" w:rsidP="00E7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10.448.441,88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10.448.441,88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Korišteni rezultat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345.306,67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402.094,22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Višak prihoda korišten za pokriće rashoda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233.997,90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58.107,00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55.512,97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Višak prihoda korišten za pokriće rashoda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Pomoći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24D9" w:rsidRPr="00C7220A" w:rsidTr="00EB24D9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Višak prihoda korišten za pokriće rashoda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D9" w:rsidRPr="00F96D97" w:rsidRDefault="00EB24D9" w:rsidP="00EB2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21BF3" w:rsidRDefault="00521BF3" w:rsidP="00A40D21">
      <w:pPr>
        <w:jc w:val="both"/>
        <w:rPr>
          <w:rFonts w:cstheme="minorHAnsi"/>
        </w:rPr>
      </w:pPr>
    </w:p>
    <w:p w:rsidR="00E7542D" w:rsidRPr="00AC40CE" w:rsidRDefault="00E7542D" w:rsidP="00A40D21">
      <w:pPr>
        <w:jc w:val="both"/>
        <w:rPr>
          <w:rFonts w:ascii="Arial" w:hAnsi="Arial" w:cs="Arial"/>
        </w:rPr>
      </w:pPr>
      <w:r w:rsidRPr="00AC40CE">
        <w:rPr>
          <w:rFonts w:ascii="Arial" w:hAnsi="Arial" w:cs="Arial"/>
        </w:rPr>
        <w:t xml:space="preserve">Opći prihodi, koji se odnose na prihode financirane iz proračuna Grada Dubrovnika u cjelosti su utrošeni na rashode ustanove kako na redovnu tako i na programsku </w:t>
      </w:r>
      <w:proofErr w:type="gramStart"/>
      <w:r w:rsidRPr="00AC40CE">
        <w:rPr>
          <w:rFonts w:ascii="Arial" w:hAnsi="Arial" w:cs="Arial"/>
        </w:rPr>
        <w:t>djelatnost .</w:t>
      </w:r>
      <w:proofErr w:type="gramEnd"/>
    </w:p>
    <w:p w:rsidR="00E7542D" w:rsidRDefault="00E7542D" w:rsidP="00A40D21">
      <w:pPr>
        <w:jc w:val="both"/>
        <w:rPr>
          <w:rFonts w:ascii="Arial" w:hAnsi="Arial" w:cs="Arial"/>
        </w:rPr>
      </w:pPr>
      <w:r w:rsidRPr="00AC40CE">
        <w:rPr>
          <w:rFonts w:ascii="Arial" w:hAnsi="Arial" w:cs="Arial"/>
        </w:rPr>
        <w:t>Vlastiti prihodi ostvareni su u iznosu od 345.306,67 kuna i utrošeni su na</w:t>
      </w:r>
      <w:r w:rsidR="00062EFA" w:rsidRPr="00AC40CE">
        <w:rPr>
          <w:rFonts w:ascii="Arial" w:hAnsi="Arial" w:cs="Arial"/>
        </w:rPr>
        <w:t xml:space="preserve"> pokriće rashoda u iznosu od 168.096,32 </w:t>
      </w:r>
      <w:proofErr w:type="gramStart"/>
      <w:r w:rsidR="00062EFA" w:rsidRPr="00AC40CE">
        <w:rPr>
          <w:rFonts w:ascii="Arial" w:hAnsi="Arial" w:cs="Arial"/>
        </w:rPr>
        <w:t>kn</w:t>
      </w:r>
      <w:r w:rsidR="00EB24D9">
        <w:rPr>
          <w:rFonts w:ascii="Arial" w:hAnsi="Arial" w:cs="Arial"/>
        </w:rPr>
        <w:t xml:space="preserve"> ,</w:t>
      </w:r>
      <w:r w:rsidRPr="00AC40CE">
        <w:rPr>
          <w:rFonts w:ascii="Arial" w:hAnsi="Arial" w:cs="Arial"/>
        </w:rPr>
        <w:t>dok</w:t>
      </w:r>
      <w:proofErr w:type="gramEnd"/>
      <w:r w:rsidRPr="00AC40CE">
        <w:rPr>
          <w:rFonts w:ascii="Arial" w:hAnsi="Arial" w:cs="Arial"/>
        </w:rPr>
        <w:t xml:space="preserve"> su ostali rashodi  podmireni </w:t>
      </w:r>
      <w:r w:rsidR="00062EFA" w:rsidRPr="00AC40CE">
        <w:rPr>
          <w:rFonts w:ascii="Arial" w:hAnsi="Arial" w:cs="Arial"/>
        </w:rPr>
        <w:t xml:space="preserve"> prenesenim viškom</w:t>
      </w:r>
      <w:r w:rsidRPr="00AC40CE">
        <w:rPr>
          <w:rFonts w:ascii="Arial" w:hAnsi="Arial" w:cs="Arial"/>
        </w:rPr>
        <w:t xml:space="preserve"> iz prethodne godine</w:t>
      </w:r>
      <w:r w:rsidR="00062EFA" w:rsidRPr="00AC40CE">
        <w:rPr>
          <w:rFonts w:ascii="Arial" w:hAnsi="Arial" w:cs="Arial"/>
        </w:rPr>
        <w:t xml:space="preserve"> prema odluci Upravnog vijeća Dubrovačkih muzeja</w:t>
      </w:r>
      <w:r w:rsidRPr="00AC40CE">
        <w:rPr>
          <w:rFonts w:ascii="Arial" w:hAnsi="Arial" w:cs="Arial"/>
        </w:rPr>
        <w:t xml:space="preserve"> </w:t>
      </w:r>
      <w:r w:rsidR="00BE2AD9" w:rsidRPr="00AC40CE">
        <w:rPr>
          <w:rFonts w:ascii="Arial" w:hAnsi="Arial" w:cs="Arial"/>
        </w:rPr>
        <w:t>.</w:t>
      </w:r>
      <w:r w:rsidRPr="00AC40CE">
        <w:rPr>
          <w:rFonts w:ascii="Arial" w:hAnsi="Arial" w:cs="Arial"/>
        </w:rPr>
        <w:t xml:space="preserve"> </w:t>
      </w:r>
    </w:p>
    <w:p w:rsidR="00B9358F" w:rsidRDefault="00B9358F" w:rsidP="00A40D21">
      <w:pPr>
        <w:jc w:val="both"/>
        <w:rPr>
          <w:rFonts w:ascii="Arial" w:hAnsi="Arial" w:cs="Arial"/>
        </w:rPr>
      </w:pPr>
    </w:p>
    <w:p w:rsidR="00B9358F" w:rsidRPr="00B9358F" w:rsidRDefault="00B9358F" w:rsidP="00A40D21">
      <w:pPr>
        <w:jc w:val="both"/>
        <w:rPr>
          <w:rFonts w:ascii="Arial" w:hAnsi="Arial" w:cs="Arial"/>
          <w:b/>
        </w:rPr>
      </w:pPr>
      <w:r w:rsidRPr="00B9358F">
        <w:rPr>
          <w:rFonts w:ascii="Arial" w:hAnsi="Arial" w:cs="Arial"/>
          <w:b/>
        </w:rPr>
        <w:lastRenderedPageBreak/>
        <w:t xml:space="preserve">RASHODI PREMA FUNKCIJSKOJ KLASIFIKACIJI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381"/>
        <w:gridCol w:w="1128"/>
        <w:gridCol w:w="1230"/>
        <w:gridCol w:w="1381"/>
        <w:gridCol w:w="991"/>
        <w:gridCol w:w="1032"/>
      </w:tblGrid>
      <w:tr w:rsidR="00B223B5" w:rsidTr="00B223B5">
        <w:tc>
          <w:tcPr>
            <w:tcW w:w="2253" w:type="dxa"/>
          </w:tcPr>
          <w:p w:rsidR="00B223B5" w:rsidRPr="00B223B5" w:rsidRDefault="00B223B5" w:rsidP="00B223B5">
            <w:pPr>
              <w:rPr>
                <w:rFonts w:cstheme="minorHAnsi"/>
              </w:rPr>
            </w:pPr>
            <w:r w:rsidRPr="00B223B5">
              <w:rPr>
                <w:rFonts w:cstheme="minorHAnsi"/>
              </w:rPr>
              <w:t>BROJČANA OZNAKA I NAZIV</w:t>
            </w:r>
          </w:p>
        </w:tc>
        <w:tc>
          <w:tcPr>
            <w:tcW w:w="1381" w:type="dxa"/>
          </w:tcPr>
          <w:p w:rsidR="00B223B5" w:rsidRPr="00494B44" w:rsidRDefault="00B223B5" w:rsidP="00A40D21">
            <w:pPr>
              <w:jc w:val="both"/>
              <w:rPr>
                <w:rFonts w:cstheme="minorHAnsi"/>
              </w:rPr>
            </w:pPr>
            <w:r w:rsidRPr="00494B44">
              <w:rPr>
                <w:rFonts w:eastAsia="Times New Roman" w:cstheme="minorHAnsi"/>
                <w:bCs/>
              </w:rPr>
              <w:t>Ostvarenje /izvršenje 2020.</w:t>
            </w:r>
          </w:p>
        </w:tc>
        <w:tc>
          <w:tcPr>
            <w:tcW w:w="1128" w:type="dxa"/>
          </w:tcPr>
          <w:p w:rsidR="00B223B5" w:rsidRPr="00494B44" w:rsidRDefault="00B223B5" w:rsidP="00A40D21">
            <w:pPr>
              <w:jc w:val="both"/>
              <w:rPr>
                <w:rFonts w:cstheme="minorHAnsi"/>
              </w:rPr>
            </w:pPr>
            <w:r w:rsidRPr="00494B44">
              <w:rPr>
                <w:rFonts w:cstheme="minorHAnsi"/>
              </w:rPr>
              <w:t>Izvorni plan  2021.</w:t>
            </w:r>
          </w:p>
        </w:tc>
        <w:tc>
          <w:tcPr>
            <w:tcW w:w="1230" w:type="dxa"/>
          </w:tcPr>
          <w:p w:rsidR="00B223B5" w:rsidRPr="00494B44" w:rsidRDefault="00B223B5" w:rsidP="00A40D21">
            <w:pPr>
              <w:jc w:val="both"/>
              <w:rPr>
                <w:rFonts w:cstheme="minorHAnsi"/>
              </w:rPr>
            </w:pPr>
            <w:r w:rsidRPr="00494B44">
              <w:rPr>
                <w:rFonts w:cstheme="minorHAnsi"/>
              </w:rPr>
              <w:t>Tekući plan 2021.</w:t>
            </w:r>
          </w:p>
        </w:tc>
        <w:tc>
          <w:tcPr>
            <w:tcW w:w="1381" w:type="dxa"/>
          </w:tcPr>
          <w:p w:rsidR="00B223B5" w:rsidRPr="00494B44" w:rsidRDefault="00B223B5" w:rsidP="00B223B5">
            <w:pPr>
              <w:jc w:val="both"/>
              <w:rPr>
                <w:rFonts w:cstheme="minorHAnsi"/>
              </w:rPr>
            </w:pPr>
            <w:r w:rsidRPr="00494B44">
              <w:rPr>
                <w:rFonts w:eastAsia="Times New Roman" w:cstheme="minorHAnsi"/>
                <w:bCs/>
              </w:rPr>
              <w:t>Ostvarenje /izvršenje 2021.</w:t>
            </w:r>
          </w:p>
        </w:tc>
        <w:tc>
          <w:tcPr>
            <w:tcW w:w="991" w:type="dxa"/>
          </w:tcPr>
          <w:p w:rsidR="00B223B5" w:rsidRPr="00494B44" w:rsidRDefault="00B223B5" w:rsidP="00A40D21">
            <w:pPr>
              <w:jc w:val="both"/>
              <w:rPr>
                <w:rFonts w:cstheme="minorHAnsi"/>
              </w:rPr>
            </w:pPr>
            <w:r w:rsidRPr="00494B44">
              <w:rPr>
                <w:rFonts w:cstheme="minorHAnsi"/>
              </w:rPr>
              <w:t>Indeks</w:t>
            </w:r>
          </w:p>
        </w:tc>
        <w:tc>
          <w:tcPr>
            <w:tcW w:w="1032" w:type="dxa"/>
          </w:tcPr>
          <w:p w:rsidR="00B223B5" w:rsidRPr="00494B44" w:rsidRDefault="00B223B5" w:rsidP="00A40D21">
            <w:pPr>
              <w:jc w:val="both"/>
              <w:rPr>
                <w:rFonts w:cstheme="minorHAnsi"/>
              </w:rPr>
            </w:pPr>
            <w:r w:rsidRPr="00494B44">
              <w:rPr>
                <w:rFonts w:cstheme="minorHAnsi"/>
              </w:rPr>
              <w:t>Indeks</w:t>
            </w:r>
          </w:p>
        </w:tc>
      </w:tr>
      <w:tr w:rsidR="00B223B5" w:rsidTr="00B223B5">
        <w:tc>
          <w:tcPr>
            <w:tcW w:w="2253" w:type="dxa"/>
          </w:tcPr>
          <w:p w:rsidR="00B223B5" w:rsidRP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23B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B223B5" w:rsidRPr="00B223B5" w:rsidRDefault="00B223B5" w:rsidP="00B223B5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223B5"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223B5" w:rsidRP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23B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30" w:type="dxa"/>
          </w:tcPr>
          <w:p w:rsidR="00B223B5" w:rsidRP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23B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B223B5" w:rsidRPr="00B223B5" w:rsidRDefault="00B223B5" w:rsidP="00B223B5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223B5">
              <w:rPr>
                <w:rFonts w:eastAsia="Times New Roman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B223B5" w:rsidRP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23B5">
              <w:rPr>
                <w:rFonts w:cstheme="minorHAnsi"/>
                <w:sz w:val="16"/>
                <w:szCs w:val="16"/>
              </w:rPr>
              <w:t>6= 5/2*100</w:t>
            </w:r>
          </w:p>
        </w:tc>
        <w:tc>
          <w:tcPr>
            <w:tcW w:w="1032" w:type="dxa"/>
          </w:tcPr>
          <w:p w:rsid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23B5">
              <w:rPr>
                <w:rFonts w:cstheme="minorHAnsi"/>
                <w:sz w:val="16"/>
                <w:szCs w:val="16"/>
              </w:rPr>
              <w:t>7=5/4*100</w:t>
            </w:r>
          </w:p>
          <w:p w:rsidR="00B223B5" w:rsidRPr="00B223B5" w:rsidRDefault="00B223B5" w:rsidP="00B223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23B5" w:rsidTr="00B223B5">
        <w:tc>
          <w:tcPr>
            <w:tcW w:w="2253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 Rekreacija ,kultura i religija</w:t>
            </w:r>
          </w:p>
        </w:tc>
        <w:tc>
          <w:tcPr>
            <w:tcW w:w="1381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10.915.484,05</w:t>
            </w:r>
          </w:p>
        </w:tc>
        <w:tc>
          <w:tcPr>
            <w:tcW w:w="1128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11.404.000</w:t>
            </w:r>
          </w:p>
        </w:tc>
        <w:tc>
          <w:tcPr>
            <w:tcW w:w="1230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11.404.000</w:t>
            </w:r>
          </w:p>
        </w:tc>
        <w:tc>
          <w:tcPr>
            <w:tcW w:w="1381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10.906.049,07</w:t>
            </w:r>
          </w:p>
        </w:tc>
        <w:tc>
          <w:tcPr>
            <w:tcW w:w="991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B223B5" w:rsidRPr="00B223B5" w:rsidRDefault="00B223B5" w:rsidP="00A40D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</w:tr>
      <w:tr w:rsidR="00B223B5" w:rsidTr="00B223B5">
        <w:trPr>
          <w:trHeight w:val="398"/>
        </w:trPr>
        <w:tc>
          <w:tcPr>
            <w:tcW w:w="2253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082 Službe Kulture</w:t>
            </w:r>
          </w:p>
        </w:tc>
        <w:tc>
          <w:tcPr>
            <w:tcW w:w="1381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10.915.484,05</w:t>
            </w:r>
          </w:p>
        </w:tc>
        <w:tc>
          <w:tcPr>
            <w:tcW w:w="1128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11.404.000</w:t>
            </w:r>
          </w:p>
        </w:tc>
        <w:tc>
          <w:tcPr>
            <w:tcW w:w="1230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11.404.000</w:t>
            </w:r>
          </w:p>
        </w:tc>
        <w:tc>
          <w:tcPr>
            <w:tcW w:w="1381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10.906.049,07</w:t>
            </w:r>
          </w:p>
        </w:tc>
        <w:tc>
          <w:tcPr>
            <w:tcW w:w="991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B223B5" w:rsidRPr="00B223B5" w:rsidRDefault="00B223B5" w:rsidP="00B22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</w:tr>
    </w:tbl>
    <w:p w:rsidR="00F96D97" w:rsidRDefault="00F96D97" w:rsidP="00A40D21">
      <w:pPr>
        <w:jc w:val="both"/>
        <w:rPr>
          <w:rFonts w:ascii="Arial" w:hAnsi="Arial" w:cs="Arial"/>
        </w:rPr>
      </w:pPr>
    </w:p>
    <w:p w:rsidR="00A75833" w:rsidRPr="00A75833" w:rsidRDefault="00A75833" w:rsidP="00A75833">
      <w:pPr>
        <w:jc w:val="both"/>
        <w:rPr>
          <w:rFonts w:ascii="Arial" w:hAnsi="Arial" w:cs="Arial"/>
          <w:iCs/>
        </w:rPr>
      </w:pPr>
      <w:r w:rsidRPr="00A75833">
        <w:rPr>
          <w:rFonts w:ascii="Arial" w:hAnsi="Arial" w:cs="Arial"/>
          <w:iCs/>
        </w:rPr>
        <w:t>Ukupni rashodi poslovanja u 2021. godini u iznosu od 10.906.049</w:t>
      </w:r>
      <w:r>
        <w:rPr>
          <w:rFonts w:ascii="Arial" w:hAnsi="Arial" w:cs="Arial"/>
          <w:iCs/>
        </w:rPr>
        <w:t>,07</w:t>
      </w:r>
      <w:r w:rsidRPr="00A758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kn</w:t>
      </w:r>
      <w:r w:rsidRPr="00A75833">
        <w:rPr>
          <w:rFonts w:ascii="Arial" w:hAnsi="Arial" w:cs="Arial"/>
          <w:iCs/>
        </w:rPr>
        <w:t xml:space="preserve"> utrošeni su za redovno </w:t>
      </w:r>
      <w:proofErr w:type="gramStart"/>
      <w:r w:rsidRPr="00A75833">
        <w:rPr>
          <w:rFonts w:ascii="Arial" w:hAnsi="Arial" w:cs="Arial"/>
          <w:iCs/>
        </w:rPr>
        <w:t>poslovanje  i</w:t>
      </w:r>
      <w:proofErr w:type="gramEnd"/>
      <w:r w:rsidRPr="00A75833">
        <w:rPr>
          <w:rFonts w:ascii="Arial" w:hAnsi="Arial" w:cs="Arial"/>
          <w:iCs/>
        </w:rPr>
        <w:t xml:space="preserve"> nabavku nefinancijske imovine,te realizaciju programa iz 2021. godine.</w:t>
      </w:r>
    </w:p>
    <w:p w:rsidR="00A75833" w:rsidRPr="00A75833" w:rsidRDefault="00A75833" w:rsidP="00A75833">
      <w:pPr>
        <w:jc w:val="both"/>
        <w:rPr>
          <w:rFonts w:ascii="Arial" w:hAnsi="Arial" w:cs="Arial"/>
        </w:rPr>
      </w:pPr>
    </w:p>
    <w:p w:rsidR="00A75833" w:rsidRDefault="00A75833" w:rsidP="00A40D21">
      <w:pPr>
        <w:jc w:val="both"/>
        <w:rPr>
          <w:rFonts w:ascii="Arial" w:hAnsi="Arial" w:cs="Arial"/>
        </w:rPr>
      </w:pPr>
    </w:p>
    <w:p w:rsidR="00533B1A" w:rsidRDefault="00533B1A" w:rsidP="00A40D21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533B1A" w:rsidRPr="00BE2AD9" w:rsidTr="00533B1A">
        <w:trPr>
          <w:trHeight w:val="2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A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POSEBNI DIO</w:t>
            </w:r>
          </w:p>
          <w:p w:rsidR="00B9358F" w:rsidRPr="00BE2AD9" w:rsidRDefault="00B9358F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B93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IZVJEŠ</w:t>
            </w:r>
            <w:r w:rsidR="00B935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TAJ </w:t>
            </w:r>
            <w:r w:rsidRPr="00BE2A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O IZVRŠENJU FINANCIJSKOG PLANA ZA 2021. GODINU PO PROGRAMSKOJ, EKONOMSKOJ I IZVORIMA FINANCIRANJA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I OBRAZLOŽENJE IZVJEŠĆA</w:t>
            </w:r>
          </w:p>
        </w:tc>
      </w:tr>
    </w:tbl>
    <w:p w:rsidR="00533B1A" w:rsidRDefault="00533B1A" w:rsidP="00A40D21">
      <w:pPr>
        <w:jc w:val="both"/>
        <w:rPr>
          <w:rFonts w:ascii="Arial" w:hAnsi="Arial" w:cs="Arial"/>
        </w:rPr>
      </w:pPr>
    </w:p>
    <w:p w:rsidR="00BE2AD9" w:rsidRDefault="00533B1A" w:rsidP="00A40D21">
      <w:pPr>
        <w:jc w:val="both"/>
        <w:rPr>
          <w:rFonts w:ascii="Arial" w:hAnsi="Arial" w:cs="Arial"/>
        </w:rPr>
      </w:pPr>
      <w:r w:rsidRPr="00533B1A">
        <w:rPr>
          <w:rFonts w:ascii="Arial" w:hAnsi="Arial" w:cs="Arial"/>
        </w:rPr>
        <w:t>Plan rada Dubrovačkih muzeja čini redovna (administracija</w:t>
      </w:r>
      <w:r w:rsidR="0061646D">
        <w:rPr>
          <w:rFonts w:ascii="Arial" w:hAnsi="Arial" w:cs="Arial"/>
        </w:rPr>
        <w:t xml:space="preserve"> i </w:t>
      </w:r>
      <w:proofErr w:type="gramStart"/>
      <w:r w:rsidR="0061646D">
        <w:rPr>
          <w:rFonts w:ascii="Arial" w:hAnsi="Arial" w:cs="Arial"/>
        </w:rPr>
        <w:t xml:space="preserve">upravljanje </w:t>
      </w:r>
      <w:r w:rsidRPr="00533B1A">
        <w:rPr>
          <w:rFonts w:ascii="Arial" w:hAnsi="Arial" w:cs="Arial"/>
        </w:rPr>
        <w:t>)</w:t>
      </w:r>
      <w:proofErr w:type="gramEnd"/>
      <w:r w:rsidRPr="00533B1A">
        <w:rPr>
          <w:rFonts w:ascii="Arial" w:hAnsi="Arial" w:cs="Arial"/>
        </w:rPr>
        <w:t xml:space="preserve">  i programska djelatnost</w:t>
      </w:r>
      <w:r w:rsidR="0061646D">
        <w:rPr>
          <w:rFonts w:ascii="Arial" w:hAnsi="Arial" w:cs="Arial"/>
        </w:rPr>
        <w:t xml:space="preserve"> muzeja</w:t>
      </w:r>
      <w:r w:rsidRPr="00533B1A">
        <w:rPr>
          <w:rFonts w:ascii="Arial" w:hAnsi="Arial" w:cs="Arial"/>
        </w:rPr>
        <w:t xml:space="preserve"> </w:t>
      </w:r>
      <w:r w:rsidR="0061646D">
        <w:rPr>
          <w:rFonts w:ascii="Arial" w:hAnsi="Arial" w:cs="Arial"/>
        </w:rPr>
        <w:t>( redovni programi)</w:t>
      </w:r>
      <w:r>
        <w:rPr>
          <w:rFonts w:ascii="Arial" w:hAnsi="Arial" w:cs="Arial"/>
        </w:rPr>
        <w:t>.</w:t>
      </w:r>
    </w:p>
    <w:p w:rsidR="00533B1A" w:rsidRDefault="00533B1A" w:rsidP="00A40D21">
      <w:pPr>
        <w:jc w:val="both"/>
        <w:rPr>
          <w:rFonts w:ascii="Arial" w:hAnsi="Arial" w:cs="Arial"/>
        </w:rPr>
      </w:pPr>
    </w:p>
    <w:p w:rsidR="00533B1A" w:rsidRDefault="00533B1A" w:rsidP="00533B1A">
      <w:pPr>
        <w:jc w:val="center"/>
        <w:rPr>
          <w:rFonts w:ascii="Arial" w:hAnsi="Arial" w:cs="Arial"/>
        </w:rPr>
      </w:pPr>
      <w:r w:rsidRPr="00BE2AD9">
        <w:rPr>
          <w:rFonts w:eastAsia="Times New Roman" w:cstheme="minorHAnsi"/>
          <w:b/>
          <w:bCs/>
          <w:color w:val="000000"/>
          <w:sz w:val="28"/>
          <w:szCs w:val="28"/>
        </w:rPr>
        <w:t>RASHODI I IZDACI</w:t>
      </w:r>
    </w:p>
    <w:p w:rsidR="00533B1A" w:rsidRDefault="00533B1A" w:rsidP="00A40D21">
      <w:pPr>
        <w:jc w:val="both"/>
        <w:rPr>
          <w:rFonts w:ascii="Arial" w:hAnsi="Arial" w:cs="Arial"/>
        </w:rPr>
      </w:pPr>
    </w:p>
    <w:p w:rsidR="00120DF7" w:rsidRDefault="00120DF7" w:rsidP="00A40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119 REDOVNA DJELATNOST</w:t>
      </w:r>
    </w:p>
    <w:p w:rsidR="00533B1A" w:rsidRPr="00533B1A" w:rsidRDefault="00120DF7" w:rsidP="00A40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11900</w:t>
      </w:r>
      <w:r w:rsidR="00533B1A">
        <w:rPr>
          <w:rFonts w:ascii="Arial" w:hAnsi="Arial" w:cs="Arial"/>
        </w:rPr>
        <w:t>1 - ADMINISTRACIJA I UPRAVLJANJE</w:t>
      </w:r>
    </w:p>
    <w:tbl>
      <w:tblPr>
        <w:tblpPr w:leftFromText="180" w:rightFromText="180" w:vertAnchor="text" w:tblpXSpec="center" w:tblpY="1"/>
        <w:tblOverlap w:val="never"/>
        <w:tblW w:w="9499" w:type="dxa"/>
        <w:jc w:val="center"/>
        <w:tblLook w:val="04A0" w:firstRow="1" w:lastRow="0" w:firstColumn="1" w:lastColumn="0" w:noHBand="0" w:noVBand="1"/>
      </w:tblPr>
      <w:tblGrid>
        <w:gridCol w:w="851"/>
        <w:gridCol w:w="3325"/>
        <w:gridCol w:w="1453"/>
        <w:gridCol w:w="1264"/>
        <w:gridCol w:w="1562"/>
        <w:gridCol w:w="1044"/>
      </w:tblGrid>
      <w:tr w:rsidR="00BE2AD9" w:rsidRPr="00BE2AD9" w:rsidTr="00533B1A">
        <w:trPr>
          <w:trHeight w:val="20"/>
          <w:jc w:val="center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9" w:rsidRPr="008C7D99" w:rsidRDefault="00BE2AD9" w:rsidP="00BE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 1 Opći prihodi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9" w:rsidRPr="00533B1A" w:rsidRDefault="00BE2AD9" w:rsidP="00BE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9" w:rsidRPr="00533B1A" w:rsidRDefault="00BE2AD9" w:rsidP="00BE2A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9" w:rsidRPr="00533B1A" w:rsidRDefault="00BE2AD9" w:rsidP="00BE2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9" w:rsidRPr="00533B1A" w:rsidRDefault="00BE2AD9" w:rsidP="00BE2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AD9" w:rsidRPr="00BE2AD9" w:rsidTr="00533B1A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izdataka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BE2AD9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AD9" w:rsidRPr="00F96D97" w:rsidRDefault="00BE2AD9" w:rsidP="00BE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8.308.914,54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6.268.660,88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Plaće za za redovan rad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6.268.660,88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973.134,67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973.134,67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1.067.118,99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1.067.118,99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1.713.707,98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265.300,00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Naknade za prijevoz,za rad na terenu i odvojeni život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266.100,00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266.100,00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265.300,00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364.016,62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142.423,55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167.075,32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F96D97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Materijal i</w:t>
            </w:r>
            <w:r w:rsidR="00533B1A"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dijelovi za tekuće I investicijsko održavanje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37.250,98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6.591,77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1.033.995,40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Usluge telefona,pošte i prijevoza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126.296,30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208.651,26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107.300,00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107.300,00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102.346,47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470.177,40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F96D97" w:rsidRDefault="00533B1A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37.458,09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71.143,90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9.671,98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50.395,96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20.582,76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13.875,00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15.738,20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14.839,97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533B1A" w:rsidRPr="00BE2AD9" w:rsidTr="00533B1A">
        <w:trPr>
          <w:trHeight w:val="20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F96D97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10.226.100,00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10.226.100,00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10.037.462,49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1A" w:rsidRPr="00BE2AD9" w:rsidRDefault="00533B1A" w:rsidP="00533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E2A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</w:tbl>
    <w:p w:rsidR="00E7542D" w:rsidRDefault="00E7542D" w:rsidP="00A40D21">
      <w:pPr>
        <w:jc w:val="both"/>
        <w:rPr>
          <w:rFonts w:ascii="Arial" w:hAnsi="Arial" w:cs="Arial"/>
          <w:sz w:val="20"/>
          <w:szCs w:val="20"/>
        </w:rPr>
      </w:pPr>
    </w:p>
    <w:p w:rsidR="00855E4E" w:rsidRPr="008C7D99" w:rsidRDefault="00855E4E" w:rsidP="00A40D21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406" w:type="dxa"/>
        <w:tblLook w:val="04A0" w:firstRow="1" w:lastRow="0" w:firstColumn="1" w:lastColumn="0" w:noHBand="0" w:noVBand="1"/>
      </w:tblPr>
      <w:tblGrid>
        <w:gridCol w:w="850"/>
        <w:gridCol w:w="3325"/>
        <w:gridCol w:w="1453"/>
        <w:gridCol w:w="1264"/>
        <w:gridCol w:w="1562"/>
        <w:gridCol w:w="952"/>
      </w:tblGrid>
      <w:tr w:rsidR="00FA3309" w:rsidRPr="008C7D99" w:rsidTr="00FA3309">
        <w:trPr>
          <w:trHeight w:val="255"/>
        </w:trPr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 2 Vlastiti prihodi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309" w:rsidRPr="00FA3309" w:rsidTr="00FA3309">
        <w:trPr>
          <w:trHeight w:val="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Račun rashoda / iz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dataka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Izvršenje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Plaće za za redovan rad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51.321,66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2.612,00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Naknade za prijevoz,za rad na terenu I odvojeni život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6.254,74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2.150,99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4.103,75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11.423,86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Usluge telefona,pošte i prijevoza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3.001,50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8.422,36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31.031,06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1.392,50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29.638,56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97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7" w:rsidRPr="00FA3309" w:rsidRDefault="00F96D97" w:rsidP="00F96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96D97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  <w:r w:rsidR="00FA3309"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96D97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  <w:r w:rsidR="00FA3309"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435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96D97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145.200</w:t>
            </w:r>
            <w:r w:rsidR="00FA3309"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145.200,00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51.322,13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792A9D" w:rsidRPr="00FA3309" w:rsidRDefault="00792A9D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  Vlastiti prihodi - donos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792A9D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2A5AA2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A5AA2">
              <w:rPr>
                <w:rFonts w:eastAsia="Times New Roman" w:cstheme="minorHAnsi"/>
                <w:sz w:val="16"/>
                <w:szCs w:val="16"/>
              </w:rPr>
              <w:t xml:space="preserve">Račun rashoda / izfdataka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Plaće za za redovan rad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9D" w:rsidRDefault="00792A9D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E57A49" w:rsidRDefault="00E57A4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E57A49" w:rsidRDefault="00E57A4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E57A49" w:rsidRDefault="00E57A4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92A9D" w:rsidRPr="00FA3309" w:rsidRDefault="00792A9D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2A5AA2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Izvor finan</w:t>
            </w:r>
            <w:r w:rsid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ciranja 1 Opći prihodi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8C2BA5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Račun rashoda / iz</w:t>
            </w:r>
            <w:r w:rsidR="00FA3309"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dataka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77.465,88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77.465,88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55.254,52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2.388,00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812D6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Uređaji,strojevi i oprema za ostale namjene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19.823,36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6" w:rsidRPr="00FA3309" w:rsidRDefault="00B812D6" w:rsidP="00B81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30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B812D6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83.715,88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B812D6" w:rsidRDefault="00B812D6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B812D6" w:rsidRDefault="00B812D6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B812D6" w:rsidRDefault="00B812D6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B812D6" w:rsidRDefault="00B812D6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B812D6" w:rsidRPr="00FA3309" w:rsidRDefault="00B812D6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255"/>
        </w:trPr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8C7D99" w:rsidRDefault="00FA3309" w:rsidP="00FA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 2 Vlastiti prihodi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izfdataka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FA3309" w:rsidRPr="00FA3309" w:rsidTr="00FA330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3405AA" w:rsidP="003405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3405AA" w:rsidP="003405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3405AA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FA3309" w:rsidRPr="00FA3309" w:rsidTr="00FA330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309" w:rsidRPr="00FA3309" w:rsidTr="00FA3309">
        <w:trPr>
          <w:trHeight w:val="30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3405AA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309" w:rsidRPr="00FA3309" w:rsidRDefault="00FA3309" w:rsidP="00FA33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A330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</w:tbl>
    <w:p w:rsidR="00A953BB" w:rsidRPr="00A953BB" w:rsidRDefault="00A953BB" w:rsidP="00A953BB">
      <w:pPr>
        <w:jc w:val="both"/>
      </w:pPr>
    </w:p>
    <w:p w:rsidR="00433BC6" w:rsidRPr="008C7D99" w:rsidRDefault="00A953BB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>Za financiranje redovne djelatnosti ustanove u ovoj je aktivnosti</w:t>
      </w:r>
      <w:r w:rsidR="00605416" w:rsidRPr="008C7D99">
        <w:rPr>
          <w:rFonts w:ascii="Arial" w:hAnsi="Arial" w:cs="Arial"/>
        </w:rPr>
        <w:t xml:space="preserve"> za 2021. godinu</w:t>
      </w:r>
      <w:r w:rsidR="005A6CE8">
        <w:rPr>
          <w:rFonts w:ascii="Arial" w:hAnsi="Arial" w:cs="Arial"/>
        </w:rPr>
        <w:t xml:space="preserve"> prema</w:t>
      </w:r>
      <w:r w:rsidRPr="008C7D99">
        <w:rPr>
          <w:rFonts w:ascii="Arial" w:hAnsi="Arial" w:cs="Arial"/>
        </w:rPr>
        <w:t xml:space="preserve"> planu uključujući </w:t>
      </w:r>
      <w:r w:rsidR="00605416" w:rsidRPr="008C7D99">
        <w:rPr>
          <w:rFonts w:ascii="Arial" w:hAnsi="Arial" w:cs="Arial"/>
        </w:rPr>
        <w:t>i veliki dio</w:t>
      </w:r>
      <w:r w:rsidRPr="008C7D99">
        <w:rPr>
          <w:rFonts w:ascii="Arial" w:hAnsi="Arial" w:cs="Arial"/>
        </w:rPr>
        <w:t xml:space="preserve"> </w:t>
      </w:r>
      <w:r w:rsidR="00605416" w:rsidRPr="008C7D99">
        <w:rPr>
          <w:rFonts w:ascii="Arial" w:hAnsi="Arial" w:cs="Arial"/>
        </w:rPr>
        <w:t>prenesenog viš</w:t>
      </w:r>
      <w:r w:rsidRPr="008C7D99">
        <w:rPr>
          <w:rFonts w:ascii="Arial" w:hAnsi="Arial" w:cs="Arial"/>
        </w:rPr>
        <w:t>k</w:t>
      </w:r>
      <w:r w:rsidR="00605416" w:rsidRPr="008C7D99">
        <w:rPr>
          <w:rFonts w:ascii="Arial" w:hAnsi="Arial" w:cs="Arial"/>
        </w:rPr>
        <w:t>a</w:t>
      </w:r>
      <w:r w:rsidRPr="008C7D99">
        <w:rPr>
          <w:rFonts w:ascii="Arial" w:hAnsi="Arial" w:cs="Arial"/>
        </w:rPr>
        <w:t xml:space="preserve"> iz 2020. planirano</w:t>
      </w:r>
      <w:r w:rsidR="00433BC6" w:rsidRPr="008C7D99">
        <w:rPr>
          <w:rFonts w:ascii="Arial" w:hAnsi="Arial" w:cs="Arial"/>
        </w:rPr>
        <w:t xml:space="preserve"> 10.676.6</w:t>
      </w:r>
      <w:r w:rsidR="00605416" w:rsidRPr="008C7D99">
        <w:rPr>
          <w:rFonts w:ascii="Arial" w:hAnsi="Arial" w:cs="Arial"/>
        </w:rPr>
        <w:t>00 kn,</w:t>
      </w:r>
      <w:r w:rsidRPr="008C7D99">
        <w:rPr>
          <w:rFonts w:ascii="Arial" w:hAnsi="Arial" w:cs="Arial"/>
        </w:rPr>
        <w:t xml:space="preserve"> a aktivnost je ostvarena u iznosu od 10.373.250,32 kn što čini 97 </w:t>
      </w:r>
      <w:proofErr w:type="gramStart"/>
      <w:r w:rsidRPr="008C7D99">
        <w:rPr>
          <w:rFonts w:ascii="Arial" w:hAnsi="Arial" w:cs="Arial"/>
        </w:rPr>
        <w:t>%  planiranih</w:t>
      </w:r>
      <w:proofErr w:type="gramEnd"/>
      <w:r w:rsidRPr="008C7D99">
        <w:rPr>
          <w:rFonts w:ascii="Arial" w:hAnsi="Arial" w:cs="Arial"/>
        </w:rPr>
        <w:t xml:space="preserve"> rashoda.  </w:t>
      </w:r>
    </w:p>
    <w:p w:rsidR="00A953BB" w:rsidRPr="008C7D99" w:rsidRDefault="00A953BB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 xml:space="preserve">Vrijednosno najveći rashodi evidentirani su za </w:t>
      </w:r>
      <w:r w:rsidR="00E909C6">
        <w:rPr>
          <w:rFonts w:ascii="Arial" w:hAnsi="Arial" w:cs="Arial"/>
        </w:rPr>
        <w:t xml:space="preserve">plaće 83 zaposlenika koji su u </w:t>
      </w:r>
      <w:r w:rsidRPr="008C7D99">
        <w:rPr>
          <w:rFonts w:ascii="Arial" w:hAnsi="Arial" w:cs="Arial"/>
        </w:rPr>
        <w:t xml:space="preserve">financirani iz nadležnog proračuna </w:t>
      </w:r>
      <w:r w:rsidR="00605416" w:rsidRPr="008C7D99">
        <w:rPr>
          <w:rFonts w:ascii="Arial" w:hAnsi="Arial" w:cs="Arial"/>
        </w:rPr>
        <w:t>i</w:t>
      </w:r>
      <w:r w:rsidRPr="008C7D99">
        <w:rPr>
          <w:rFonts w:ascii="Arial" w:hAnsi="Arial" w:cs="Arial"/>
        </w:rPr>
        <w:t xml:space="preserve"> prenesenog viška u iznosu od 200.000,00 kn.</w:t>
      </w:r>
      <w:r w:rsidR="00605416" w:rsidRPr="008C7D99">
        <w:rPr>
          <w:rFonts w:ascii="Arial" w:hAnsi="Arial" w:cs="Arial"/>
        </w:rPr>
        <w:t xml:space="preserve"> O</w:t>
      </w:r>
      <w:r w:rsidRPr="008C7D99">
        <w:rPr>
          <w:rFonts w:ascii="Arial" w:hAnsi="Arial" w:cs="Arial"/>
        </w:rPr>
        <w:t>stala materijalna prava svih djelatnika (regres</w:t>
      </w:r>
      <w:r w:rsidR="00605416" w:rsidRPr="008C7D99">
        <w:rPr>
          <w:rFonts w:ascii="Arial" w:hAnsi="Arial" w:cs="Arial"/>
        </w:rPr>
        <w:t xml:space="preserve"> i jubilarne nagrade iz 2020. godine, </w:t>
      </w:r>
      <w:proofErr w:type="gramStart"/>
      <w:r w:rsidRPr="008C7D99">
        <w:rPr>
          <w:rFonts w:ascii="Arial" w:hAnsi="Arial" w:cs="Arial"/>
        </w:rPr>
        <w:t>božićnica</w:t>
      </w:r>
      <w:r w:rsidR="00605416" w:rsidRPr="008C7D99">
        <w:rPr>
          <w:rFonts w:ascii="Arial" w:hAnsi="Arial" w:cs="Arial"/>
        </w:rPr>
        <w:t xml:space="preserve"> ,</w:t>
      </w:r>
      <w:proofErr w:type="gramEnd"/>
      <w:r w:rsidR="00E25AB1" w:rsidRPr="008C7D99">
        <w:rPr>
          <w:rFonts w:ascii="Arial" w:hAnsi="Arial" w:cs="Arial"/>
        </w:rPr>
        <w:t xml:space="preserve"> </w:t>
      </w:r>
      <w:r w:rsidR="00605416" w:rsidRPr="008C7D99">
        <w:rPr>
          <w:rFonts w:ascii="Arial" w:hAnsi="Arial" w:cs="Arial"/>
        </w:rPr>
        <w:t xml:space="preserve">nagrade, naknade za duža bolovanja i smrtni slučaj </w:t>
      </w:r>
      <w:r w:rsidRPr="008C7D99">
        <w:rPr>
          <w:rFonts w:ascii="Arial" w:hAnsi="Arial" w:cs="Arial"/>
        </w:rPr>
        <w:t>)</w:t>
      </w:r>
      <w:r w:rsidR="00605416" w:rsidRPr="008C7D99">
        <w:rPr>
          <w:rFonts w:ascii="Arial" w:hAnsi="Arial" w:cs="Arial"/>
        </w:rPr>
        <w:t xml:space="preserve"> također su u cijelosti financirani iz gradskog proračuna </w:t>
      </w:r>
      <w:r w:rsidRPr="008C7D99">
        <w:rPr>
          <w:rFonts w:ascii="Arial" w:hAnsi="Arial" w:cs="Arial"/>
        </w:rPr>
        <w:t>temeljem kolektivnog ugovora za za zaposlene u kulturi Grada Dubrovnika u visini od</w:t>
      </w:r>
      <w:r w:rsidR="00605416" w:rsidRPr="008C7D99">
        <w:rPr>
          <w:rFonts w:ascii="Arial" w:hAnsi="Arial" w:cs="Arial"/>
        </w:rPr>
        <w:t xml:space="preserve"> 973.134,67 kn što je 97% od  planiranog.</w:t>
      </w:r>
      <w:r w:rsidRPr="008C7D99">
        <w:rPr>
          <w:rFonts w:ascii="Arial" w:hAnsi="Arial" w:cs="Arial"/>
        </w:rPr>
        <w:t xml:space="preserve"> </w:t>
      </w:r>
    </w:p>
    <w:p w:rsidR="00A953BB" w:rsidRPr="008C7D99" w:rsidRDefault="00A953BB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lastRenderedPageBreak/>
        <w:t>Navedena aktivnost odnosi se</w:t>
      </w:r>
      <w:r w:rsidR="00433BC6" w:rsidRPr="008C7D99">
        <w:rPr>
          <w:rFonts w:ascii="Arial" w:hAnsi="Arial" w:cs="Arial"/>
        </w:rPr>
        <w:t xml:space="preserve"> i</w:t>
      </w:r>
      <w:r w:rsidRPr="008C7D99">
        <w:rPr>
          <w:rFonts w:ascii="Arial" w:hAnsi="Arial" w:cs="Arial"/>
        </w:rPr>
        <w:t xml:space="preserve"> na troškove redovnog poslovanja ustanove te je prema planu </w:t>
      </w:r>
      <w:r w:rsidR="00433BC6" w:rsidRPr="008C7D99">
        <w:rPr>
          <w:rFonts w:ascii="Arial" w:hAnsi="Arial" w:cs="Arial"/>
        </w:rPr>
        <w:t xml:space="preserve">od 451.800,00 kn </w:t>
      </w:r>
      <w:r w:rsidRPr="008C7D99">
        <w:rPr>
          <w:rFonts w:ascii="Arial" w:hAnsi="Arial" w:cs="Arial"/>
        </w:rPr>
        <w:t>ostvareno</w:t>
      </w:r>
      <w:r w:rsidR="00433BC6" w:rsidRPr="008C7D99">
        <w:rPr>
          <w:rFonts w:ascii="Arial" w:hAnsi="Arial" w:cs="Arial"/>
        </w:rPr>
        <w:t xml:space="preserve"> 370.271,36 kn rashoda za materi</w:t>
      </w:r>
      <w:r w:rsidR="0071435B" w:rsidRPr="008C7D99">
        <w:rPr>
          <w:rFonts w:ascii="Arial" w:hAnsi="Arial" w:cs="Arial"/>
        </w:rPr>
        <w:t>j</w:t>
      </w:r>
      <w:r w:rsidR="00433BC6" w:rsidRPr="008C7D99">
        <w:rPr>
          <w:rFonts w:ascii="Arial" w:hAnsi="Arial" w:cs="Arial"/>
        </w:rPr>
        <w:t>al i</w:t>
      </w:r>
      <w:r w:rsidRPr="008C7D99">
        <w:rPr>
          <w:rFonts w:ascii="Arial" w:hAnsi="Arial" w:cs="Arial"/>
        </w:rPr>
        <w:t xml:space="preserve"> energiju </w:t>
      </w:r>
      <w:r w:rsidR="00433BC6" w:rsidRPr="008C7D99">
        <w:rPr>
          <w:rFonts w:ascii="Arial" w:hAnsi="Arial" w:cs="Arial"/>
        </w:rPr>
        <w:t>tj. 81,95 %. Ti rashodi odnose se na potreban uredski i</w:t>
      </w:r>
      <w:r w:rsidRPr="008C7D99">
        <w:rPr>
          <w:rFonts w:ascii="Arial" w:hAnsi="Arial" w:cs="Arial"/>
        </w:rPr>
        <w:t xml:space="preserve"> ostali materi</w:t>
      </w:r>
      <w:r w:rsidR="0071435B" w:rsidRPr="008C7D99">
        <w:rPr>
          <w:rFonts w:ascii="Arial" w:hAnsi="Arial" w:cs="Arial"/>
        </w:rPr>
        <w:t>j</w:t>
      </w:r>
      <w:r w:rsidRPr="008C7D99">
        <w:rPr>
          <w:rFonts w:ascii="Arial" w:hAnsi="Arial" w:cs="Arial"/>
        </w:rPr>
        <w:t>al za redovno poslova</w:t>
      </w:r>
      <w:r w:rsidR="00433BC6" w:rsidRPr="008C7D99">
        <w:rPr>
          <w:rFonts w:ascii="Arial" w:hAnsi="Arial" w:cs="Arial"/>
        </w:rPr>
        <w:t>nje te materi</w:t>
      </w:r>
      <w:r w:rsidR="0071435B" w:rsidRPr="008C7D99">
        <w:rPr>
          <w:rFonts w:ascii="Arial" w:hAnsi="Arial" w:cs="Arial"/>
        </w:rPr>
        <w:t>j</w:t>
      </w:r>
      <w:r w:rsidR="00433BC6" w:rsidRPr="008C7D99">
        <w:rPr>
          <w:rFonts w:ascii="Arial" w:hAnsi="Arial" w:cs="Arial"/>
        </w:rPr>
        <w:t>al za čišćenje i</w:t>
      </w:r>
      <w:r w:rsidR="0071435B" w:rsidRPr="008C7D99">
        <w:rPr>
          <w:rFonts w:ascii="Arial" w:hAnsi="Arial" w:cs="Arial"/>
        </w:rPr>
        <w:t xml:space="preserve"> održavanje objekata</w:t>
      </w:r>
      <w:r w:rsidRPr="008C7D99">
        <w:rPr>
          <w:rFonts w:ascii="Arial" w:hAnsi="Arial" w:cs="Arial"/>
        </w:rPr>
        <w:t>,</w:t>
      </w:r>
      <w:r w:rsidR="00433BC6" w:rsidRPr="008C7D99">
        <w:rPr>
          <w:rFonts w:ascii="Arial" w:hAnsi="Arial" w:cs="Arial"/>
        </w:rPr>
        <w:t xml:space="preserve"> ra</w:t>
      </w:r>
      <w:r w:rsidRPr="008C7D99">
        <w:rPr>
          <w:rFonts w:ascii="Arial" w:hAnsi="Arial" w:cs="Arial"/>
        </w:rPr>
        <w:t>shod za opskrbu</w:t>
      </w:r>
      <w:r w:rsidR="00433BC6" w:rsidRPr="008C7D99">
        <w:rPr>
          <w:rFonts w:ascii="Arial" w:hAnsi="Arial" w:cs="Arial"/>
        </w:rPr>
        <w:t xml:space="preserve"> energijom za objekte ustanove i</w:t>
      </w:r>
      <w:r w:rsidRPr="008C7D99">
        <w:rPr>
          <w:rFonts w:ascii="Arial" w:hAnsi="Arial" w:cs="Arial"/>
        </w:rPr>
        <w:t xml:space="preserve"> rashode za nabavu sitnog inventara</w:t>
      </w:r>
      <w:r w:rsidR="00433BC6" w:rsidRPr="008C7D99">
        <w:rPr>
          <w:rFonts w:ascii="Arial" w:hAnsi="Arial" w:cs="Arial"/>
        </w:rPr>
        <w:t>.</w:t>
      </w:r>
    </w:p>
    <w:p w:rsidR="00E25AB1" w:rsidRPr="008C7D99" w:rsidRDefault="00433BC6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>Također su planirani i</w:t>
      </w:r>
      <w:r w:rsidR="00A953BB" w:rsidRPr="008C7D99">
        <w:rPr>
          <w:rFonts w:ascii="Arial" w:hAnsi="Arial" w:cs="Arial"/>
        </w:rPr>
        <w:t xml:space="preserve"> ostvaren</w:t>
      </w:r>
      <w:r w:rsidRPr="008C7D99">
        <w:rPr>
          <w:rFonts w:ascii="Arial" w:hAnsi="Arial" w:cs="Arial"/>
        </w:rPr>
        <w:t>i rashodi za usluge u iznosu od 1.045.419,26 kn ili 93</w:t>
      </w:r>
      <w:r w:rsidR="00A953BB" w:rsidRPr="008C7D99">
        <w:rPr>
          <w:rFonts w:ascii="Arial" w:hAnsi="Arial" w:cs="Arial"/>
        </w:rPr>
        <w:t>%</w:t>
      </w:r>
      <w:r w:rsidR="0071435B" w:rsidRPr="008C7D99">
        <w:rPr>
          <w:rFonts w:ascii="Arial" w:hAnsi="Arial" w:cs="Arial"/>
        </w:rPr>
        <w:t xml:space="preserve"> u odnosu na</w:t>
      </w:r>
      <w:r w:rsidRPr="008C7D99">
        <w:rPr>
          <w:rFonts w:ascii="Arial" w:hAnsi="Arial" w:cs="Arial"/>
        </w:rPr>
        <w:t xml:space="preserve"> plan</w:t>
      </w:r>
      <w:r w:rsidR="00AC32BA" w:rsidRPr="008C7D99">
        <w:rPr>
          <w:rFonts w:ascii="Arial" w:hAnsi="Arial" w:cs="Arial"/>
        </w:rPr>
        <w:t xml:space="preserve"> i najvećim dijelom 98,90% financiran</w:t>
      </w:r>
      <w:r w:rsidR="00E909C6">
        <w:rPr>
          <w:rFonts w:ascii="Arial" w:hAnsi="Arial" w:cs="Arial"/>
        </w:rPr>
        <w:t>i</w:t>
      </w:r>
      <w:r w:rsidR="00AC32BA" w:rsidRPr="008C7D99">
        <w:rPr>
          <w:rFonts w:ascii="Arial" w:hAnsi="Arial" w:cs="Arial"/>
        </w:rPr>
        <w:t xml:space="preserve"> je sredstvima gradskog proračuna. Ti se rashodi odnose </w:t>
      </w:r>
      <w:proofErr w:type="gramStart"/>
      <w:r w:rsidR="00AC32BA" w:rsidRPr="008C7D99">
        <w:rPr>
          <w:rFonts w:ascii="Arial" w:hAnsi="Arial" w:cs="Arial"/>
        </w:rPr>
        <w:t>na  telefonske</w:t>
      </w:r>
      <w:proofErr w:type="gramEnd"/>
      <w:r w:rsidR="00AC32BA" w:rsidRPr="008C7D99">
        <w:rPr>
          <w:rFonts w:ascii="Arial" w:hAnsi="Arial" w:cs="Arial"/>
        </w:rPr>
        <w:t xml:space="preserve"> i</w:t>
      </w:r>
      <w:r w:rsidR="00A953BB" w:rsidRPr="008C7D99">
        <w:rPr>
          <w:rFonts w:ascii="Arial" w:hAnsi="Arial" w:cs="Arial"/>
        </w:rPr>
        <w:t xml:space="preserve"> poštanske usluge,</w:t>
      </w:r>
      <w:r w:rsidR="00AC32BA" w:rsidRPr="008C7D99">
        <w:rPr>
          <w:rFonts w:ascii="Arial" w:hAnsi="Arial" w:cs="Arial"/>
        </w:rPr>
        <w:t xml:space="preserve"> usluge tekućeg i</w:t>
      </w:r>
      <w:r w:rsidR="00A953BB" w:rsidRPr="008C7D99">
        <w:rPr>
          <w:rFonts w:ascii="Arial" w:hAnsi="Arial" w:cs="Arial"/>
        </w:rPr>
        <w:t xml:space="preserve"> investicijskog održavanja građevinskih objekata ,</w:t>
      </w:r>
      <w:r w:rsidR="00AC32BA" w:rsidRPr="008C7D99">
        <w:rPr>
          <w:rFonts w:ascii="Arial" w:hAnsi="Arial" w:cs="Arial"/>
        </w:rPr>
        <w:t xml:space="preserve"> postrojenja i opreme, rashode za usluge promidžbe i informiranja, komunalne i</w:t>
      </w:r>
      <w:r w:rsidR="00A953BB" w:rsidRPr="008C7D99">
        <w:rPr>
          <w:rFonts w:ascii="Arial" w:hAnsi="Arial" w:cs="Arial"/>
        </w:rPr>
        <w:t xml:space="preserve"> zdravstvene usluge</w:t>
      </w:r>
      <w:r w:rsidR="00AC32BA" w:rsidRPr="008C7D99">
        <w:rPr>
          <w:rFonts w:ascii="Arial" w:hAnsi="Arial" w:cs="Arial"/>
        </w:rPr>
        <w:t xml:space="preserve"> koje se odnose na preventivne i</w:t>
      </w:r>
      <w:r w:rsidR="00A953BB" w:rsidRPr="008C7D99">
        <w:rPr>
          <w:rFonts w:ascii="Arial" w:hAnsi="Arial" w:cs="Arial"/>
        </w:rPr>
        <w:t xml:space="preserve"> zdravstvene preglede zaposlenika</w:t>
      </w:r>
      <w:r w:rsidR="00AC32BA" w:rsidRPr="008C7D99">
        <w:rPr>
          <w:rFonts w:ascii="Arial" w:hAnsi="Arial" w:cs="Arial"/>
        </w:rPr>
        <w:t>.</w:t>
      </w:r>
      <w:r w:rsidR="00A953BB" w:rsidRPr="008C7D99">
        <w:rPr>
          <w:rFonts w:ascii="Arial" w:hAnsi="Arial" w:cs="Arial"/>
        </w:rPr>
        <w:t xml:space="preserve"> </w:t>
      </w:r>
    </w:p>
    <w:p w:rsidR="00A953BB" w:rsidRPr="008C7D99" w:rsidRDefault="00A953BB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>U</w:t>
      </w:r>
      <w:r w:rsidR="00AC32BA" w:rsidRPr="008C7D99">
        <w:rPr>
          <w:rFonts w:ascii="Arial" w:hAnsi="Arial" w:cs="Arial"/>
        </w:rPr>
        <w:t xml:space="preserve"> ovom</w:t>
      </w:r>
      <w:r w:rsidRPr="008C7D99">
        <w:rPr>
          <w:rFonts w:ascii="Arial" w:hAnsi="Arial" w:cs="Arial"/>
        </w:rPr>
        <w:t xml:space="preserve"> dijelu rashoda za usl</w:t>
      </w:r>
      <w:r w:rsidR="00AC32BA" w:rsidRPr="008C7D99">
        <w:rPr>
          <w:rFonts w:ascii="Arial" w:hAnsi="Arial" w:cs="Arial"/>
        </w:rPr>
        <w:t>uge ostvarene su intelektualne usluge vezane za redovnu djelatnost muzeja, koje se odnose na ugovore o djelu,</w:t>
      </w:r>
      <w:r w:rsidRPr="008C7D99">
        <w:rPr>
          <w:rFonts w:ascii="Arial" w:hAnsi="Arial" w:cs="Arial"/>
        </w:rPr>
        <w:t xml:space="preserve"> studentske ugovore</w:t>
      </w:r>
      <w:r w:rsidR="00AC32BA" w:rsidRPr="008C7D99">
        <w:rPr>
          <w:rFonts w:ascii="Arial" w:hAnsi="Arial" w:cs="Arial"/>
        </w:rPr>
        <w:t>,</w:t>
      </w:r>
      <w:r w:rsidRPr="008C7D99">
        <w:rPr>
          <w:rFonts w:ascii="Arial" w:hAnsi="Arial" w:cs="Arial"/>
        </w:rPr>
        <w:t xml:space="preserve"> računalne </w:t>
      </w:r>
      <w:proofErr w:type="gramStart"/>
      <w:r w:rsidRPr="008C7D99">
        <w:rPr>
          <w:rFonts w:ascii="Arial" w:hAnsi="Arial" w:cs="Arial"/>
        </w:rPr>
        <w:t>usluge  te</w:t>
      </w:r>
      <w:proofErr w:type="gramEnd"/>
      <w:r w:rsidRPr="008C7D99">
        <w:rPr>
          <w:rFonts w:ascii="Arial" w:hAnsi="Arial" w:cs="Arial"/>
        </w:rPr>
        <w:t xml:space="preserve"> ostale usluge.</w:t>
      </w:r>
    </w:p>
    <w:p w:rsidR="00A953BB" w:rsidRPr="008C7D99" w:rsidRDefault="00AC32BA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>F</w:t>
      </w:r>
      <w:r w:rsidR="00A953BB" w:rsidRPr="008C7D99">
        <w:rPr>
          <w:rFonts w:ascii="Arial" w:hAnsi="Arial" w:cs="Arial"/>
        </w:rPr>
        <w:t xml:space="preserve">inancijski rashodi planirani </w:t>
      </w:r>
      <w:r w:rsidRPr="008C7D99">
        <w:rPr>
          <w:rFonts w:ascii="Arial" w:hAnsi="Arial" w:cs="Arial"/>
        </w:rPr>
        <w:t xml:space="preserve">su u visini 17.000,00 a ostvareni u </w:t>
      </w:r>
      <w:r w:rsidR="0071435B" w:rsidRPr="008C7D99">
        <w:rPr>
          <w:rFonts w:ascii="Arial" w:hAnsi="Arial" w:cs="Arial"/>
        </w:rPr>
        <w:t>iznosu 14.840,</w:t>
      </w:r>
      <w:proofErr w:type="gramStart"/>
      <w:r w:rsidR="0071435B" w:rsidRPr="008C7D99">
        <w:rPr>
          <w:rFonts w:ascii="Arial" w:hAnsi="Arial" w:cs="Arial"/>
        </w:rPr>
        <w:t>44 ,</w:t>
      </w:r>
      <w:proofErr w:type="gramEnd"/>
      <w:r w:rsidR="0071435B" w:rsidRPr="008C7D99">
        <w:rPr>
          <w:rFonts w:ascii="Arial" w:hAnsi="Arial" w:cs="Arial"/>
        </w:rPr>
        <w:t xml:space="preserve"> odnosno 87%, </w:t>
      </w:r>
      <w:r w:rsidRPr="008C7D99">
        <w:rPr>
          <w:rFonts w:ascii="Arial" w:hAnsi="Arial" w:cs="Arial"/>
        </w:rPr>
        <w:t>a odnose se na</w:t>
      </w:r>
      <w:r w:rsidR="00A953BB" w:rsidRPr="008C7D99">
        <w:rPr>
          <w:rFonts w:ascii="Arial" w:hAnsi="Arial" w:cs="Arial"/>
        </w:rPr>
        <w:t xml:space="preserve"> troškove bankarskih n</w:t>
      </w:r>
      <w:r w:rsidRPr="008C7D99">
        <w:rPr>
          <w:rFonts w:ascii="Arial" w:hAnsi="Arial" w:cs="Arial"/>
        </w:rPr>
        <w:t>aknada i</w:t>
      </w:r>
      <w:r w:rsidR="00A953BB" w:rsidRPr="008C7D99">
        <w:rPr>
          <w:rFonts w:ascii="Arial" w:hAnsi="Arial" w:cs="Arial"/>
        </w:rPr>
        <w:t xml:space="preserve"> usluge platnog prometa .</w:t>
      </w:r>
    </w:p>
    <w:p w:rsidR="00A953BB" w:rsidRPr="008C7D99" w:rsidRDefault="00A953BB" w:rsidP="00FE4B25">
      <w:pPr>
        <w:jc w:val="both"/>
        <w:rPr>
          <w:rFonts w:ascii="Arial" w:hAnsi="Arial" w:cs="Arial"/>
        </w:rPr>
      </w:pPr>
      <w:r w:rsidRPr="008C7D99">
        <w:rPr>
          <w:rFonts w:ascii="Arial" w:hAnsi="Arial" w:cs="Arial"/>
        </w:rPr>
        <w:t xml:space="preserve">Kako je Zakonom o muzejima Osnivač dužan osigurati opremu za redovno poslovanje, ista je planirana u iznosu </w:t>
      </w:r>
      <w:proofErr w:type="gramStart"/>
      <w:r w:rsidRPr="008C7D99">
        <w:rPr>
          <w:rFonts w:ascii="Arial" w:hAnsi="Arial" w:cs="Arial"/>
        </w:rPr>
        <w:t>od</w:t>
      </w:r>
      <w:r w:rsidR="00AC32BA" w:rsidRPr="008C7D99">
        <w:rPr>
          <w:rFonts w:ascii="Arial" w:hAnsi="Arial" w:cs="Arial"/>
        </w:rPr>
        <w:t xml:space="preserve"> </w:t>
      </w:r>
      <w:r w:rsidRPr="008C7D99">
        <w:rPr>
          <w:rFonts w:ascii="Arial" w:hAnsi="Arial" w:cs="Arial"/>
        </w:rPr>
        <w:t xml:space="preserve"> </w:t>
      </w:r>
      <w:r w:rsidR="00AC32BA" w:rsidRPr="008C7D99">
        <w:rPr>
          <w:rFonts w:ascii="Arial" w:hAnsi="Arial" w:cs="Arial"/>
        </w:rPr>
        <w:t>105.300</w:t>
      </w:r>
      <w:proofErr w:type="gramEnd"/>
      <w:r w:rsidR="00AC32BA" w:rsidRPr="008C7D99">
        <w:rPr>
          <w:rFonts w:ascii="Arial" w:hAnsi="Arial" w:cs="Arial"/>
        </w:rPr>
        <w:t>,00 kn a sredstva su  utrošena za nabavu računala i</w:t>
      </w:r>
      <w:r w:rsidRPr="008C7D99">
        <w:rPr>
          <w:rFonts w:ascii="Arial" w:hAnsi="Arial" w:cs="Arial"/>
        </w:rPr>
        <w:t xml:space="preserve"> računalne opreme te ostale potrebne</w:t>
      </w:r>
      <w:r w:rsidR="00AC32BA" w:rsidRPr="008C7D99">
        <w:rPr>
          <w:rFonts w:ascii="Arial" w:hAnsi="Arial" w:cs="Arial"/>
        </w:rPr>
        <w:t xml:space="preserve"> opreme za održavanje prostora i rad us</w:t>
      </w:r>
      <w:r w:rsidR="0071435B" w:rsidRPr="008C7D99">
        <w:rPr>
          <w:rFonts w:ascii="Arial" w:hAnsi="Arial" w:cs="Arial"/>
        </w:rPr>
        <w:t xml:space="preserve">tanove u iznosu od 84.465,70 kn </w:t>
      </w:r>
      <w:r w:rsidR="00C1376A" w:rsidRPr="008C7D99">
        <w:rPr>
          <w:rFonts w:ascii="Arial" w:hAnsi="Arial" w:cs="Arial"/>
        </w:rPr>
        <w:t>i financirani su 99% iz općih prihoda.</w:t>
      </w:r>
    </w:p>
    <w:p w:rsidR="00C1376A" w:rsidRDefault="00A953BB" w:rsidP="00FE4B25">
      <w:pPr>
        <w:jc w:val="both"/>
      </w:pPr>
      <w:r w:rsidRPr="008C7D99">
        <w:rPr>
          <w:rFonts w:ascii="Arial" w:hAnsi="Arial" w:cs="Arial"/>
        </w:rPr>
        <w:t>Slijedom navedenog, od ukupno planiranih rashoda za r</w:t>
      </w:r>
      <w:r w:rsidR="00AC32BA" w:rsidRPr="008C7D99">
        <w:rPr>
          <w:rFonts w:ascii="Arial" w:hAnsi="Arial" w:cs="Arial"/>
        </w:rPr>
        <w:t>edovno poslovanje m</w:t>
      </w:r>
      <w:r w:rsidRPr="008C7D99">
        <w:rPr>
          <w:rFonts w:ascii="Arial" w:hAnsi="Arial" w:cs="Arial"/>
        </w:rPr>
        <w:t xml:space="preserve">uzeja u iznosu </w:t>
      </w:r>
      <w:proofErr w:type="gramStart"/>
      <w:r w:rsidRPr="008C7D99">
        <w:rPr>
          <w:rFonts w:ascii="Arial" w:hAnsi="Arial" w:cs="Arial"/>
        </w:rPr>
        <w:t>od</w:t>
      </w:r>
      <w:r w:rsidR="00AC32BA" w:rsidRPr="008C7D99">
        <w:rPr>
          <w:rFonts w:ascii="Arial" w:hAnsi="Arial" w:cs="Arial"/>
        </w:rPr>
        <w:t xml:space="preserve">  </w:t>
      </w:r>
      <w:r w:rsidR="006A51F0" w:rsidRPr="008C7D99">
        <w:rPr>
          <w:rFonts w:ascii="Arial" w:hAnsi="Arial" w:cs="Arial"/>
        </w:rPr>
        <w:t>10.676.000</w:t>
      </w:r>
      <w:proofErr w:type="gramEnd"/>
      <w:r w:rsidR="006A51F0" w:rsidRPr="008C7D99">
        <w:rPr>
          <w:rFonts w:ascii="Arial" w:hAnsi="Arial" w:cs="Arial"/>
        </w:rPr>
        <w:t xml:space="preserve">,00 kn najveći  dio </w:t>
      </w:r>
      <w:r w:rsidRPr="008C7D99">
        <w:rPr>
          <w:rFonts w:ascii="Arial" w:hAnsi="Arial" w:cs="Arial"/>
        </w:rPr>
        <w:t xml:space="preserve">u ovoj aktivnosti </w:t>
      </w:r>
      <w:r w:rsidR="006A51F0" w:rsidRPr="008C7D99">
        <w:rPr>
          <w:rFonts w:ascii="Arial" w:hAnsi="Arial" w:cs="Arial"/>
        </w:rPr>
        <w:t>planirao se financirati iz nadležnog Gradskog proračuna  u iznosu 10.226.100,00 ,a izvršeno je 10.037.462,49 kn ,tj. 98%</w:t>
      </w:r>
      <w:r w:rsidR="008727D7" w:rsidRPr="008C7D99">
        <w:rPr>
          <w:rFonts w:ascii="Arial" w:hAnsi="Arial" w:cs="Arial"/>
        </w:rPr>
        <w:t>. O</w:t>
      </w:r>
      <w:r w:rsidRPr="008C7D99">
        <w:rPr>
          <w:rFonts w:ascii="Arial" w:hAnsi="Arial" w:cs="Arial"/>
        </w:rPr>
        <w:t>stal</w:t>
      </w:r>
      <w:r w:rsidR="008727D7" w:rsidRPr="008C7D99">
        <w:rPr>
          <w:rFonts w:ascii="Arial" w:hAnsi="Arial" w:cs="Arial"/>
        </w:rPr>
        <w:t>i rashodi</w:t>
      </w:r>
      <w:r w:rsidR="006A51F0" w:rsidRPr="008C7D99">
        <w:rPr>
          <w:rFonts w:ascii="Arial" w:hAnsi="Arial" w:cs="Arial"/>
        </w:rPr>
        <w:t xml:space="preserve"> su se planirali pokriti iz Vlastitih prihod</w:t>
      </w:r>
      <w:r w:rsidR="008727D7" w:rsidRPr="008C7D99">
        <w:rPr>
          <w:rFonts w:ascii="Arial" w:hAnsi="Arial" w:cs="Arial"/>
        </w:rPr>
        <w:t>a ustanove te prenesenog viška, kojim su se pokrili rashodi za plaće</w:t>
      </w:r>
      <w:r w:rsidR="00E25AB1" w:rsidRPr="008C7D99">
        <w:rPr>
          <w:rFonts w:ascii="Arial" w:hAnsi="Arial" w:cs="Arial"/>
        </w:rPr>
        <w:t xml:space="preserve"> zaposlenika.</w:t>
      </w:r>
    </w:p>
    <w:p w:rsidR="00C1376A" w:rsidRDefault="00C1376A" w:rsidP="00FE4B25">
      <w:pPr>
        <w:jc w:val="both"/>
      </w:pPr>
    </w:p>
    <w:p w:rsidR="00120DF7" w:rsidRDefault="00C1376A" w:rsidP="00FE4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="00120DF7">
        <w:rPr>
          <w:rFonts w:ascii="Arial" w:hAnsi="Arial" w:cs="Arial"/>
        </w:rPr>
        <w:t xml:space="preserve"> 120 PROGRAMSKA DJELATNOST</w:t>
      </w:r>
    </w:p>
    <w:p w:rsidR="00C1376A" w:rsidRPr="00C1376A" w:rsidRDefault="00C1376A" w:rsidP="00FE4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120001 – </w:t>
      </w:r>
      <w:r w:rsidR="00120DF7">
        <w:rPr>
          <w:rFonts w:ascii="Arial" w:hAnsi="Arial" w:cs="Arial"/>
        </w:rPr>
        <w:t>REDOVNI PROGRAMI</w:t>
      </w:r>
    </w:p>
    <w:p w:rsidR="00C1376A" w:rsidRDefault="00C1376A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1124"/>
        <w:gridCol w:w="2752"/>
        <w:gridCol w:w="1305"/>
        <w:gridCol w:w="1305"/>
        <w:gridCol w:w="1878"/>
        <w:gridCol w:w="1042"/>
      </w:tblGrid>
      <w:tr w:rsidR="00C1376A" w:rsidRPr="00C1376A" w:rsidTr="00C1376A">
        <w:trPr>
          <w:trHeight w:val="255"/>
          <w:jc w:val="center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</w:t>
            </w:r>
            <w:r w:rsidR="00120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vor financiranja 1 Opći prihodi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76A" w:rsidRPr="00C1376A" w:rsidTr="00C1376A">
        <w:trPr>
          <w:trHeight w:val="8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rashoda/ izdataka </w:t>
            </w:r>
          </w:p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C1376A" w:rsidRPr="00C1376A" w:rsidTr="00C1376A">
        <w:trPr>
          <w:trHeight w:val="255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327.263,51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6.495,75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3.885,75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2.610,00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75.618,24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68.254,37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2.584,23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3224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3.489,00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1.290,64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238.278,07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Usluge telefona,pošte i prijevoza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145.326,53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77.800,00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77.800,00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72.251,54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6.871,45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558,78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630,20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5.132,47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C1376A" w:rsidRPr="00C1376A" w:rsidTr="00C1376A">
        <w:trPr>
          <w:trHeight w:val="255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C1376A" w:rsidRPr="00C1376A" w:rsidTr="00C1376A">
        <w:trPr>
          <w:trHeight w:val="300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327.263,51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137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</w:tbl>
    <w:p w:rsidR="00C1376A" w:rsidRDefault="00C1376A" w:rsidP="00FE4B25">
      <w:pPr>
        <w:jc w:val="both"/>
      </w:pPr>
    </w:p>
    <w:p w:rsidR="00C1376A" w:rsidRDefault="00C1376A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851"/>
        <w:gridCol w:w="3988"/>
        <w:gridCol w:w="1315"/>
        <w:gridCol w:w="1200"/>
        <w:gridCol w:w="1289"/>
        <w:gridCol w:w="763"/>
      </w:tblGrid>
      <w:tr w:rsidR="00C1376A" w:rsidRPr="00C1376A" w:rsidTr="008C7D99">
        <w:trPr>
          <w:trHeight w:val="255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2 Vlastiti prihodi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1376A" w:rsidRPr="00C1376A" w:rsidTr="00F83776">
        <w:trPr>
          <w:trHeight w:val="7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izdataka 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  <w:r w:rsid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Izvršenje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6A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8C7D99" w:rsidRPr="008C7D99" w:rsidRDefault="008C7D99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C1376A" w:rsidRPr="00C1376A" w:rsidTr="008C7D99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116.024,37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6.194,75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6.194,75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69.417,56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69.217,57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199,99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31.944,93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Usluge telefona,pošte i prijevoza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1.447,88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4.237,20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26.059,85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8.467,13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C1376A" w:rsidRPr="00C1376A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8.467,13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C1376A" w:rsidRPr="00C1376A" w:rsidTr="008C7D99">
        <w:trPr>
          <w:trHeight w:val="39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C13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116.024,37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6A" w:rsidRPr="008C7D99" w:rsidRDefault="00C1376A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</w:tbl>
    <w:p w:rsidR="00DD6E77" w:rsidRDefault="00DD6E77" w:rsidP="00FE4B25">
      <w:pPr>
        <w:jc w:val="both"/>
      </w:pPr>
    </w:p>
    <w:p w:rsidR="00CB0A19" w:rsidRDefault="00CB0A19" w:rsidP="00FE4B25">
      <w:pPr>
        <w:jc w:val="both"/>
      </w:pPr>
    </w:p>
    <w:p w:rsidR="00E909C6" w:rsidRDefault="00E909C6" w:rsidP="00FE4B25">
      <w:pPr>
        <w:jc w:val="both"/>
      </w:pPr>
    </w:p>
    <w:p w:rsidR="00E909C6" w:rsidRDefault="00E909C6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866"/>
        <w:gridCol w:w="3954"/>
        <w:gridCol w:w="1417"/>
        <w:gridCol w:w="1134"/>
        <w:gridCol w:w="1272"/>
        <w:gridCol w:w="763"/>
      </w:tblGrid>
      <w:tr w:rsidR="0062475E" w:rsidRPr="00473E5A" w:rsidTr="00560DAA">
        <w:trPr>
          <w:trHeight w:val="255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anja Vlastiti prihodi </w:t>
            </w:r>
            <w:r w:rsidRPr="008C7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donos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5E" w:rsidRPr="00473E5A" w:rsidTr="00560DAA">
        <w:trPr>
          <w:trHeight w:val="10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izdataka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Izvršenje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2475E" w:rsidRPr="00473E5A" w:rsidTr="00560DA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62475E" w:rsidRPr="00473E5A" w:rsidTr="00560DA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6247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33.997,90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2475E" w:rsidRPr="00473E5A" w:rsidTr="00560DA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33.997,90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2475E" w:rsidRPr="00473E5A" w:rsidTr="00560DA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33.997,90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2475E" w:rsidRPr="00473E5A" w:rsidTr="00560DAA">
        <w:trPr>
          <w:trHeight w:val="4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</w:t>
            </w: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33.997,90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5E" w:rsidRPr="00473E5A" w:rsidRDefault="0062475E" w:rsidP="00560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</w:tbl>
    <w:p w:rsidR="00473E5A" w:rsidRDefault="00473E5A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51"/>
        <w:gridCol w:w="3988"/>
        <w:gridCol w:w="1315"/>
        <w:gridCol w:w="1200"/>
        <w:gridCol w:w="1289"/>
        <w:gridCol w:w="763"/>
      </w:tblGrid>
      <w:tr w:rsidR="008C7D99" w:rsidRPr="008C7D99" w:rsidTr="008C7D99">
        <w:trPr>
          <w:trHeight w:val="255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7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5 Prihodi za posebne namjene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D99" w:rsidRPr="008C7D99" w:rsidTr="00F83776">
        <w:trPr>
          <w:trHeight w:val="7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Račun rashoda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/ izdataka 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Izvršenje </w:t>
            </w: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8C7D99" w:rsidRPr="008C7D99" w:rsidTr="008C7D99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31.429,07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14.429,07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14.429,07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C7D99" w:rsidRPr="008C7D99" w:rsidTr="008C7D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C7D99" w:rsidRPr="008C7D99" w:rsidTr="008C7D99">
        <w:trPr>
          <w:trHeight w:val="40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8C7D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31.429,07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9" w:rsidRPr="008C7D99" w:rsidRDefault="008C7D99" w:rsidP="00DD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C7D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</w:tbl>
    <w:p w:rsidR="00C1376A" w:rsidRDefault="00C1376A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866"/>
        <w:gridCol w:w="3954"/>
        <w:gridCol w:w="1417"/>
        <w:gridCol w:w="1134"/>
        <w:gridCol w:w="1272"/>
        <w:gridCol w:w="763"/>
      </w:tblGrid>
      <w:tr w:rsidR="00473E5A" w:rsidRPr="00473E5A" w:rsidTr="00473E5A">
        <w:trPr>
          <w:trHeight w:val="255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Prihodi za posebne namjene - donos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E5A" w:rsidRPr="00473E5A" w:rsidTr="00473E5A">
        <w:trPr>
          <w:trHeight w:val="10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izdataka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Izvršenje</w:t>
            </w: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73E5A" w:rsidRPr="00473E5A" w:rsidTr="00473E5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473E5A" w:rsidRPr="00473E5A" w:rsidTr="00473E5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73E5A" w:rsidRPr="00473E5A" w:rsidTr="00473E5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73E5A" w:rsidRPr="00473E5A" w:rsidTr="00473E5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73E5A" w:rsidRPr="00473E5A" w:rsidTr="00473E5A">
        <w:trPr>
          <w:trHeight w:val="4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1.976,90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5A" w:rsidRPr="00473E5A" w:rsidRDefault="00473E5A" w:rsidP="00473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73E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</w:tbl>
    <w:p w:rsidR="00473E5A" w:rsidRDefault="00473E5A" w:rsidP="00FE4B25">
      <w:pPr>
        <w:jc w:val="both"/>
      </w:pPr>
    </w:p>
    <w:p w:rsidR="00E909C6" w:rsidRDefault="00E909C6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134"/>
        <w:gridCol w:w="1555"/>
        <w:gridCol w:w="763"/>
      </w:tblGrid>
      <w:tr w:rsidR="00F83776" w:rsidRPr="00F83776" w:rsidTr="007327CF">
        <w:trPr>
          <w:trHeight w:val="255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3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5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76" w:rsidRPr="00F83776" w:rsidTr="007327CF">
        <w:trPr>
          <w:trHeight w:val="7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Račun rashoda / izdataka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Izvršenje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F83776" w:rsidRPr="00F83776" w:rsidTr="007327CF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83776" w:rsidRPr="00F83776" w:rsidTr="007327C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F83776" w:rsidRPr="00F83776" w:rsidTr="007327C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Knjige ,umjetnička djela i ostale izložbene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F83776" w:rsidRPr="00F83776" w:rsidTr="007327C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4244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Ostale nespomenute izložbene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F83776" w:rsidRPr="00F83776" w:rsidTr="007327C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776" w:rsidRPr="00F83776" w:rsidTr="007327CF">
        <w:trPr>
          <w:trHeight w:val="30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22.107,00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</w:tbl>
    <w:p w:rsidR="00C1376A" w:rsidRDefault="00C1376A" w:rsidP="00FE4B25">
      <w:pPr>
        <w:jc w:val="both"/>
      </w:pPr>
    </w:p>
    <w:p w:rsidR="00F83776" w:rsidRDefault="00F83776" w:rsidP="00FE4B25">
      <w:pPr>
        <w:jc w:val="both"/>
      </w:pP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1134"/>
        <w:gridCol w:w="3511"/>
        <w:gridCol w:w="1268"/>
        <w:gridCol w:w="1157"/>
        <w:gridCol w:w="1503"/>
        <w:gridCol w:w="833"/>
      </w:tblGrid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3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 Vlastiti prihodi- odnos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76" w:rsidRPr="00F83776" w:rsidTr="00F83776">
        <w:trPr>
          <w:trHeight w:val="7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Izvršenje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Odnos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177.210,35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Vlastiti prihodi- odnos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177.210,35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832B11" w:rsidRDefault="00832B11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832B11" w:rsidRDefault="00832B11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832B11" w:rsidRPr="00F83776" w:rsidRDefault="00832B11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83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3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 Prihodi za posebne namjene- odnos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7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Ostvarenje/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Izvršenje</w:t>
            </w: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Odnos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4.570,93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776" w:rsidRPr="00F83776" w:rsidTr="00F83776">
        <w:trPr>
          <w:trHeight w:val="255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Prihodi za posebne namjene- odnos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837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4.570,93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76" w:rsidRPr="00F83776" w:rsidRDefault="00F83776" w:rsidP="00F83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1376A" w:rsidRDefault="00C1376A" w:rsidP="00FE4B25">
      <w:pPr>
        <w:jc w:val="both"/>
      </w:pPr>
    </w:p>
    <w:p w:rsidR="00DD6E77" w:rsidRPr="00894000" w:rsidRDefault="00DD6E77" w:rsidP="00DD6E77">
      <w:pPr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Za financiranje aktivnosti programska djelatnost za 202</w:t>
      </w:r>
      <w:r w:rsidR="00300F67">
        <w:rPr>
          <w:rFonts w:ascii="Arial" w:hAnsi="Arial" w:cs="Arial"/>
        </w:rPr>
        <w:t>1. godinu</w:t>
      </w:r>
      <w:r w:rsidRPr="00894000">
        <w:rPr>
          <w:rFonts w:ascii="Arial" w:hAnsi="Arial" w:cs="Arial"/>
        </w:rPr>
        <w:t xml:space="preserve"> planirano </w:t>
      </w:r>
      <w:r w:rsidR="00300F67">
        <w:rPr>
          <w:rFonts w:ascii="Arial" w:hAnsi="Arial" w:cs="Arial"/>
        </w:rPr>
        <w:t xml:space="preserve">je </w:t>
      </w:r>
      <w:r w:rsidRPr="00894000">
        <w:rPr>
          <w:rFonts w:ascii="Arial" w:hAnsi="Arial" w:cs="Arial"/>
        </w:rPr>
        <w:t xml:space="preserve">uključujući </w:t>
      </w:r>
      <w:r w:rsidR="007327CF" w:rsidRPr="00894000">
        <w:rPr>
          <w:rFonts w:ascii="Arial" w:hAnsi="Arial" w:cs="Arial"/>
        </w:rPr>
        <w:t xml:space="preserve">i </w:t>
      </w:r>
      <w:r w:rsidRPr="00894000">
        <w:rPr>
          <w:rFonts w:ascii="Arial" w:hAnsi="Arial" w:cs="Arial"/>
        </w:rPr>
        <w:t>dio pre</w:t>
      </w:r>
      <w:r w:rsidR="00300F67">
        <w:rPr>
          <w:rFonts w:ascii="Arial" w:hAnsi="Arial" w:cs="Arial"/>
        </w:rPr>
        <w:t>nesenog viška iz 2020. godine</w:t>
      </w:r>
      <w:r w:rsidRPr="00894000">
        <w:rPr>
          <w:rFonts w:ascii="Arial" w:hAnsi="Arial" w:cs="Arial"/>
        </w:rPr>
        <w:t xml:space="preserve"> </w:t>
      </w:r>
      <w:r w:rsidR="007327CF" w:rsidRPr="00894000">
        <w:rPr>
          <w:rFonts w:ascii="Arial" w:hAnsi="Arial" w:cs="Arial"/>
        </w:rPr>
        <w:t>727.400,00</w:t>
      </w:r>
      <w:r w:rsidRPr="00894000">
        <w:rPr>
          <w:rFonts w:ascii="Arial" w:hAnsi="Arial" w:cs="Arial"/>
        </w:rPr>
        <w:t xml:space="preserve"> kn, a aktivnost je ost</w:t>
      </w:r>
      <w:r w:rsidR="00AB0FE1" w:rsidRPr="00894000">
        <w:rPr>
          <w:rFonts w:ascii="Arial" w:hAnsi="Arial" w:cs="Arial"/>
        </w:rPr>
        <w:t>varena u iznosu od 532.798,75 kn što čini 73,25</w:t>
      </w:r>
      <w:r w:rsidRPr="00894000">
        <w:rPr>
          <w:rFonts w:ascii="Arial" w:hAnsi="Arial" w:cs="Arial"/>
        </w:rPr>
        <w:t xml:space="preserve"> </w:t>
      </w:r>
      <w:proofErr w:type="gramStart"/>
      <w:r w:rsidRPr="00894000">
        <w:rPr>
          <w:rFonts w:ascii="Arial" w:hAnsi="Arial" w:cs="Arial"/>
        </w:rPr>
        <w:t>%  planiranih</w:t>
      </w:r>
      <w:proofErr w:type="gramEnd"/>
      <w:r w:rsidRPr="00894000">
        <w:rPr>
          <w:rFonts w:ascii="Arial" w:hAnsi="Arial" w:cs="Arial"/>
        </w:rPr>
        <w:t xml:space="preserve"> rashoda.  </w:t>
      </w:r>
    </w:p>
    <w:p w:rsidR="005A5847" w:rsidRPr="00894000" w:rsidRDefault="00DD6E77" w:rsidP="00DD6E77">
      <w:pPr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 xml:space="preserve">Vrijednosno najveći rashodi evidentirani su za </w:t>
      </w:r>
      <w:r w:rsidR="00AB0FE1" w:rsidRPr="00894000">
        <w:rPr>
          <w:rFonts w:ascii="Arial" w:hAnsi="Arial" w:cs="Arial"/>
        </w:rPr>
        <w:t>intelektualne usluge</w:t>
      </w:r>
      <w:r w:rsidR="00E909C6">
        <w:rPr>
          <w:rFonts w:ascii="Arial" w:hAnsi="Arial" w:cs="Arial"/>
        </w:rPr>
        <w:t>,</w:t>
      </w:r>
      <w:r w:rsidR="00AB0FE1" w:rsidRPr="00894000">
        <w:rPr>
          <w:rFonts w:ascii="Arial" w:hAnsi="Arial" w:cs="Arial"/>
        </w:rPr>
        <w:t xml:space="preserve"> a odnose se na usluge vanjskih </w:t>
      </w:r>
      <w:proofErr w:type="gramStart"/>
      <w:r w:rsidR="00AB0FE1" w:rsidRPr="00894000">
        <w:rPr>
          <w:rFonts w:ascii="Arial" w:hAnsi="Arial" w:cs="Arial"/>
        </w:rPr>
        <w:t>suradnika  (</w:t>
      </w:r>
      <w:proofErr w:type="gramEnd"/>
      <w:r w:rsidR="00AB0FE1" w:rsidRPr="00894000">
        <w:rPr>
          <w:rFonts w:ascii="Arial" w:hAnsi="Arial" w:cs="Arial"/>
        </w:rPr>
        <w:t xml:space="preserve">autorski ugovori, ugovori o djelu,te usluge grafičkog oblikovanja) </w:t>
      </w:r>
      <w:r w:rsidR="005A5847" w:rsidRPr="00894000">
        <w:rPr>
          <w:rFonts w:ascii="Arial" w:hAnsi="Arial" w:cs="Arial"/>
        </w:rPr>
        <w:t>u iznosu od 115.310,54 kn. Također veću stavku čini nabava suvenira za muzejsku suvenirnicu koji su financirani isključivo iz vlastitih sredstava i prenesenog viška iz 2020. godine.</w:t>
      </w:r>
    </w:p>
    <w:p w:rsidR="005A5847" w:rsidRPr="00894000" w:rsidRDefault="002C102A" w:rsidP="005A5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Rashodi za programsku</w:t>
      </w:r>
      <w:r w:rsidR="005A5847" w:rsidRPr="00894000">
        <w:rPr>
          <w:rFonts w:ascii="Arial" w:hAnsi="Arial" w:cs="Arial"/>
        </w:rPr>
        <w:t xml:space="preserve"> djelatnost </w:t>
      </w:r>
      <w:r w:rsidR="00A5097F" w:rsidRPr="00894000">
        <w:rPr>
          <w:rFonts w:ascii="Arial" w:hAnsi="Arial" w:cs="Arial"/>
        </w:rPr>
        <w:t xml:space="preserve">dalje se </w:t>
      </w:r>
      <w:r>
        <w:rPr>
          <w:rFonts w:ascii="Arial" w:hAnsi="Arial" w:cs="Arial"/>
        </w:rPr>
        <w:t>dijele na rashode planirane za</w:t>
      </w:r>
      <w:r w:rsidR="005A5847" w:rsidRPr="00894000">
        <w:rPr>
          <w:rFonts w:ascii="Arial" w:hAnsi="Arial" w:cs="Arial"/>
        </w:rPr>
        <w:t xml:space="preserve"> skupljanje </w:t>
      </w:r>
      <w:proofErr w:type="gramStart"/>
      <w:r w:rsidR="005A5847" w:rsidRPr="00894000">
        <w:rPr>
          <w:rFonts w:ascii="Arial" w:hAnsi="Arial" w:cs="Arial"/>
        </w:rPr>
        <w:t>građe,</w:t>
      </w:r>
      <w:r>
        <w:rPr>
          <w:rFonts w:ascii="Arial" w:hAnsi="Arial" w:cs="Arial"/>
        </w:rPr>
        <w:t>zaštitu</w:t>
      </w:r>
      <w:proofErr w:type="gramEnd"/>
      <w:r>
        <w:rPr>
          <w:rFonts w:ascii="Arial" w:hAnsi="Arial" w:cs="Arial"/>
        </w:rPr>
        <w:t>, knjižnicu</w:t>
      </w:r>
      <w:r w:rsidR="00A5097F" w:rsidRPr="00894000">
        <w:rPr>
          <w:rFonts w:ascii="Arial" w:hAnsi="Arial" w:cs="Arial"/>
        </w:rPr>
        <w:t>,</w:t>
      </w:r>
      <w:r w:rsidR="000C0C46">
        <w:rPr>
          <w:rFonts w:ascii="Arial" w:hAnsi="Arial" w:cs="Arial"/>
        </w:rPr>
        <w:t xml:space="preserve"> </w:t>
      </w:r>
      <w:r w:rsidR="006A2250" w:rsidRPr="00894000">
        <w:rPr>
          <w:rFonts w:ascii="Arial" w:hAnsi="Arial" w:cs="Arial"/>
        </w:rPr>
        <w:t>stalni postav,</w:t>
      </w:r>
      <w:r>
        <w:rPr>
          <w:rFonts w:ascii="Arial" w:hAnsi="Arial" w:cs="Arial"/>
        </w:rPr>
        <w:t xml:space="preserve"> edukativnu, izložbenu</w:t>
      </w:r>
      <w:r w:rsidR="006A2250" w:rsidRPr="00894000">
        <w:rPr>
          <w:rFonts w:ascii="Arial" w:hAnsi="Arial" w:cs="Arial"/>
        </w:rPr>
        <w:t xml:space="preserve"> i izdavačka djelatnost,</w:t>
      </w:r>
      <w:r w:rsidR="000C0C46">
        <w:rPr>
          <w:rFonts w:ascii="Arial" w:hAnsi="Arial" w:cs="Arial"/>
        </w:rPr>
        <w:t xml:space="preserve"> </w:t>
      </w:r>
      <w:r w:rsidR="006A2250" w:rsidRPr="00894000">
        <w:rPr>
          <w:rFonts w:ascii="Arial" w:hAnsi="Arial" w:cs="Arial"/>
        </w:rPr>
        <w:t>stručni r</w:t>
      </w:r>
      <w:r>
        <w:rPr>
          <w:rFonts w:ascii="Arial" w:hAnsi="Arial" w:cs="Arial"/>
        </w:rPr>
        <w:t>ad, marketinšku djelatnost i odnose</w:t>
      </w:r>
      <w:r w:rsidR="006A2250" w:rsidRPr="00894000">
        <w:rPr>
          <w:rFonts w:ascii="Arial" w:hAnsi="Arial" w:cs="Arial"/>
        </w:rPr>
        <w:t xml:space="preserve"> s javnošću, investicije.</w:t>
      </w:r>
    </w:p>
    <w:p w:rsidR="006A2250" w:rsidRPr="00894000" w:rsidRDefault="006A2250" w:rsidP="005A5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0173" w:rsidRPr="00894000" w:rsidRDefault="006A2250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Najveći dio rashoda pokriven je sredstvima iz nadležnog proračuna 327.263,51 kn tj.61,42% ukupnih rashoda za programsku djelatnost.</w:t>
      </w:r>
    </w:p>
    <w:p w:rsidR="00620173" w:rsidRPr="00894000" w:rsidRDefault="006A2250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Rashodi za terenska istraživanja odnose se na rashode</w:t>
      </w:r>
      <w:r w:rsidR="005A5847" w:rsidRPr="00894000">
        <w:rPr>
          <w:rFonts w:ascii="Arial" w:hAnsi="Arial" w:cs="Arial"/>
        </w:rPr>
        <w:t xml:space="preserve"> za </w:t>
      </w:r>
      <w:r w:rsidR="00620173" w:rsidRPr="00894000">
        <w:rPr>
          <w:rFonts w:ascii="Arial" w:hAnsi="Arial" w:cs="Arial"/>
        </w:rPr>
        <w:t xml:space="preserve">terenski dodatak i prijevoz te su u cijelosti pokriveni iz vlastitih sredstava i odnose se na podmorska arheološka istraživanja na području naselja Soline, otok </w:t>
      </w:r>
      <w:proofErr w:type="gramStart"/>
      <w:r w:rsidR="00620173" w:rsidRPr="00894000">
        <w:rPr>
          <w:rFonts w:ascii="Arial" w:hAnsi="Arial" w:cs="Arial"/>
        </w:rPr>
        <w:t>Korčula  u</w:t>
      </w:r>
      <w:proofErr w:type="gramEnd"/>
      <w:r w:rsidR="00620173" w:rsidRPr="00894000">
        <w:rPr>
          <w:rFonts w:ascii="Arial" w:hAnsi="Arial" w:cs="Arial"/>
        </w:rPr>
        <w:t xml:space="preserve"> suradnji s Odjelom za arheologiju Sveučilišta u Zadru. Oni izose 1.903,99 kn tj. 0,36% ukupnih rashoda. </w:t>
      </w:r>
    </w:p>
    <w:p w:rsidR="00C1376A" w:rsidRPr="00894000" w:rsidRDefault="002C102A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Donacijama od fizičkih osoba povećan je fundus</w:t>
      </w:r>
      <w:r w:rsidR="00620173" w:rsidRPr="00894000">
        <w:rPr>
          <w:rFonts w:ascii="Arial" w:hAnsi="Arial" w:cs="Arial"/>
        </w:rPr>
        <w:t xml:space="preserve"> Durovačkih muzeja u iznosu 22.107</w:t>
      </w:r>
      <w:r>
        <w:rPr>
          <w:rFonts w:ascii="Arial" w:hAnsi="Arial" w:cs="Arial"/>
        </w:rPr>
        <w:t>,00</w:t>
      </w:r>
      <w:r w:rsidR="00620173" w:rsidRPr="00894000">
        <w:rPr>
          <w:rFonts w:ascii="Arial" w:hAnsi="Arial" w:cs="Arial"/>
        </w:rPr>
        <w:t xml:space="preserve"> kuna iz namjenskih izvora financiranja i i ostvareni su 44% od planiranih.</w:t>
      </w:r>
    </w:p>
    <w:p w:rsidR="00620173" w:rsidRPr="00894000" w:rsidRDefault="00620173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0173" w:rsidRPr="00894000" w:rsidRDefault="00620173" w:rsidP="00620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Preventivna zaštita obuhvaća osiguranje primjerenih mikroklimatskih uvjeta (temperature i relativne vlažnosti zraka), svjetlosnih uvjeta (zračenja), uništavanja nametnika, kontrolu ljudi</w:t>
      </w:r>
      <w:r w:rsidR="002C102A">
        <w:rPr>
          <w:rFonts w:ascii="Arial" w:hAnsi="Arial" w:cs="Arial"/>
        </w:rPr>
        <w:t xml:space="preserve"> </w:t>
      </w:r>
      <w:r w:rsidRPr="00894000">
        <w:rPr>
          <w:rFonts w:ascii="Arial" w:hAnsi="Arial" w:cs="Arial"/>
        </w:rPr>
        <w:t>(osoblja i korisnika), prevenciju djelovanja štetnih tvari i ostale preventivne postupke. Preventivnu zaštitu muzeji provode u čuvaonicama i izložbenim prostorima. Restauracija i konzervacija predmeta kako vlastita tako i vanjskih suradnika važna je stavka ove aktivnosti. Za preventivnu zaštitu i restauraciju planirano je 57.250,00 kn gradskih sredstava a utrošeno je 52.535,56 kn tj. 92% planiranog.</w:t>
      </w:r>
    </w:p>
    <w:p w:rsidR="000C0C46" w:rsidRDefault="00620173" w:rsidP="00620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 xml:space="preserve">Namjenska sredstava koja su u višku prenesena iz prethodne godine (1.976,90 </w:t>
      </w:r>
      <w:proofErr w:type="gramStart"/>
      <w:r w:rsidRPr="00894000">
        <w:rPr>
          <w:rFonts w:ascii="Arial" w:hAnsi="Arial" w:cs="Arial"/>
        </w:rPr>
        <w:t>kn)  utrošena</w:t>
      </w:r>
      <w:proofErr w:type="gramEnd"/>
      <w:r w:rsidRPr="00894000">
        <w:rPr>
          <w:rFonts w:ascii="Arial" w:hAnsi="Arial" w:cs="Arial"/>
        </w:rPr>
        <w:t xml:space="preserve"> su na restauraciju muzejskog predmeta, a u ovoj godini uprihodovano je još 26.000,00 kn od kojih je utrošeno 21.429,07 kn ,odnosno 82% ,a razlika se uključila u ostvareni višak koji </w:t>
      </w:r>
      <w:r w:rsidR="002C102A">
        <w:rPr>
          <w:rFonts w:ascii="Arial" w:hAnsi="Arial" w:cs="Arial"/>
        </w:rPr>
        <w:t>će se utrošiti u 2022. godini za</w:t>
      </w:r>
      <w:r w:rsidRPr="00894000">
        <w:rPr>
          <w:rFonts w:ascii="Arial" w:hAnsi="Arial" w:cs="Arial"/>
        </w:rPr>
        <w:t xml:space="preserve"> restauraciju.</w:t>
      </w:r>
      <w:r w:rsidR="008579D0" w:rsidRPr="00894000">
        <w:rPr>
          <w:rFonts w:ascii="Arial" w:hAnsi="Arial" w:cs="Arial"/>
        </w:rPr>
        <w:t xml:space="preserve"> Ove aktivnosti posebno povećavaju stavku materijalnih rashoda financiranih iz nadležnog proračuna i čine 47,74 % ukupnih rashoda za materijal i energiju</w:t>
      </w:r>
    </w:p>
    <w:p w:rsidR="00620173" w:rsidRPr="00894000" w:rsidRDefault="008579D0" w:rsidP="00620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.</w:t>
      </w:r>
    </w:p>
    <w:p w:rsidR="008579D0" w:rsidRPr="00894000" w:rsidRDefault="008579D0" w:rsidP="0085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Nabava literature za rad stručnih</w:t>
      </w:r>
      <w:r w:rsidR="000C0C46">
        <w:rPr>
          <w:rFonts w:ascii="Arial" w:hAnsi="Arial" w:cs="Arial"/>
        </w:rPr>
        <w:t xml:space="preserve"> djelatnika kao i </w:t>
      </w:r>
      <w:r w:rsidRPr="00894000">
        <w:rPr>
          <w:rFonts w:ascii="Arial" w:hAnsi="Arial" w:cs="Arial"/>
        </w:rPr>
        <w:t xml:space="preserve">dvije pretplate na stručne časopise čine tek </w:t>
      </w:r>
      <w:r w:rsidR="000D3BD9" w:rsidRPr="00894000">
        <w:rPr>
          <w:rFonts w:ascii="Arial" w:hAnsi="Arial" w:cs="Arial"/>
        </w:rPr>
        <w:t>1,1</w:t>
      </w:r>
      <w:r w:rsidRPr="00894000">
        <w:rPr>
          <w:rFonts w:ascii="Arial" w:hAnsi="Arial" w:cs="Arial"/>
        </w:rPr>
        <w:t xml:space="preserve">4% ukupnih rashoda i </w:t>
      </w:r>
      <w:r w:rsidR="000D3BD9" w:rsidRPr="00894000">
        <w:rPr>
          <w:rFonts w:ascii="Arial" w:hAnsi="Arial" w:cs="Arial"/>
        </w:rPr>
        <w:t>iznose 6.098,01 kn.</w:t>
      </w:r>
    </w:p>
    <w:p w:rsidR="000D3BD9" w:rsidRPr="00894000" w:rsidRDefault="000D3BD9" w:rsidP="0085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3BD9" w:rsidRPr="000C0C46" w:rsidRDefault="000D3BD9" w:rsidP="000D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000">
        <w:rPr>
          <w:rFonts w:ascii="Arial" w:hAnsi="Arial" w:cs="Arial"/>
        </w:rPr>
        <w:t>Rashodi za obnovu stalnog postava financirani su u cijelosti iz općih prihoda i u odnosu na pla</w:t>
      </w:r>
      <w:r w:rsidR="000C0C46">
        <w:rPr>
          <w:rFonts w:ascii="Arial" w:hAnsi="Arial" w:cs="Arial"/>
        </w:rPr>
        <w:t xml:space="preserve">niranih 57.300,00 </w:t>
      </w:r>
      <w:proofErr w:type="gramStart"/>
      <w:r w:rsidR="000C0C46">
        <w:rPr>
          <w:rFonts w:ascii="Arial" w:hAnsi="Arial" w:cs="Arial"/>
        </w:rPr>
        <w:t xml:space="preserve">kn </w:t>
      </w:r>
      <w:r w:rsidRPr="00894000">
        <w:rPr>
          <w:rFonts w:ascii="Arial" w:hAnsi="Arial" w:cs="Arial"/>
        </w:rPr>
        <w:t xml:space="preserve"> ostvareno</w:t>
      </w:r>
      <w:proofErr w:type="gramEnd"/>
      <w:r w:rsidRPr="00894000">
        <w:rPr>
          <w:rFonts w:ascii="Arial" w:hAnsi="Arial" w:cs="Arial"/>
        </w:rPr>
        <w:t xml:space="preserve"> je 51.470,84 kn, odnosno 90%.  Zamjenjene su stare i dotrajale </w:t>
      </w:r>
      <w:r w:rsidRPr="000C0C46">
        <w:rPr>
          <w:rFonts w:ascii="Arial" w:hAnsi="Arial" w:cs="Arial"/>
        </w:rPr>
        <w:t>legende (uvodne i predmetne - revidiranje postojećih tekstova, lektura, prijevod, redizajn i tisak), te dotrajali</w:t>
      </w:r>
      <w:r w:rsidR="00761A4E">
        <w:rPr>
          <w:rFonts w:ascii="Arial" w:hAnsi="Arial" w:cs="Arial"/>
        </w:rPr>
        <w:t xml:space="preserve"> okviri na izloženim slikama u P</w:t>
      </w:r>
      <w:r w:rsidRPr="000C0C46">
        <w:rPr>
          <w:rFonts w:ascii="Arial" w:hAnsi="Arial" w:cs="Arial"/>
        </w:rPr>
        <w:t>omorskom muzeju.</w:t>
      </w:r>
    </w:p>
    <w:p w:rsidR="000C0C46" w:rsidRDefault="000D3BD9" w:rsidP="000D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Na navedene usluge utrošeno je 49.470,84 kn što čini 34,04% od ukupnih</w:t>
      </w:r>
      <w:r w:rsidR="000C0C46">
        <w:rPr>
          <w:rFonts w:ascii="Arial" w:hAnsi="Arial" w:cs="Arial"/>
        </w:rPr>
        <w:t xml:space="preserve"> rashoda</w:t>
      </w:r>
      <w:r w:rsidRPr="000C0C46">
        <w:rPr>
          <w:rFonts w:ascii="Arial" w:hAnsi="Arial" w:cs="Arial"/>
        </w:rPr>
        <w:t xml:space="preserve"> </w:t>
      </w:r>
      <w:r w:rsidR="000C0C46">
        <w:rPr>
          <w:rFonts w:ascii="Arial" w:hAnsi="Arial" w:cs="Arial"/>
        </w:rPr>
        <w:t>(</w:t>
      </w:r>
      <w:r w:rsidRPr="000C0C46">
        <w:rPr>
          <w:rFonts w:ascii="Arial" w:hAnsi="Arial" w:cs="Arial"/>
        </w:rPr>
        <w:t xml:space="preserve">145.326,53 </w:t>
      </w:r>
      <w:proofErr w:type="gramStart"/>
      <w:r w:rsidRPr="000C0C46">
        <w:rPr>
          <w:rFonts w:ascii="Arial" w:hAnsi="Arial" w:cs="Arial"/>
        </w:rPr>
        <w:t xml:space="preserve">kn </w:t>
      </w:r>
      <w:r w:rsidR="000C0C46">
        <w:rPr>
          <w:rFonts w:ascii="Arial" w:hAnsi="Arial" w:cs="Arial"/>
        </w:rPr>
        <w:t>)</w:t>
      </w:r>
      <w:proofErr w:type="gramEnd"/>
      <w:r w:rsidR="000C0C46">
        <w:rPr>
          <w:rFonts w:ascii="Arial" w:hAnsi="Arial" w:cs="Arial"/>
        </w:rPr>
        <w:t xml:space="preserve"> </w:t>
      </w:r>
      <w:r w:rsidRPr="000C0C46">
        <w:rPr>
          <w:rFonts w:ascii="Arial" w:hAnsi="Arial" w:cs="Arial"/>
        </w:rPr>
        <w:t>za intelektualne usluge</w:t>
      </w:r>
      <w:r w:rsidR="000C0C46">
        <w:rPr>
          <w:rFonts w:ascii="Arial" w:hAnsi="Arial" w:cs="Arial"/>
        </w:rPr>
        <w:t>.</w:t>
      </w:r>
    </w:p>
    <w:p w:rsidR="000D3BD9" w:rsidRPr="000C0C46" w:rsidRDefault="000D3BD9" w:rsidP="000D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.</w:t>
      </w:r>
    </w:p>
    <w:p w:rsidR="000E2864" w:rsidRDefault="000D3BD9" w:rsidP="000C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Ra</w:t>
      </w:r>
      <w:r w:rsidR="00894000" w:rsidRPr="000C0C46">
        <w:rPr>
          <w:rFonts w:ascii="Arial" w:hAnsi="Arial" w:cs="Arial"/>
        </w:rPr>
        <w:t>shodi za s</w:t>
      </w:r>
      <w:r w:rsidR="00761A4E">
        <w:rPr>
          <w:rFonts w:ascii="Arial" w:hAnsi="Arial" w:cs="Arial"/>
        </w:rPr>
        <w:t>t</w:t>
      </w:r>
      <w:r w:rsidR="00894000" w:rsidRPr="000C0C46">
        <w:rPr>
          <w:rFonts w:ascii="Arial" w:hAnsi="Arial" w:cs="Arial"/>
        </w:rPr>
        <w:t xml:space="preserve">ručni rad </w:t>
      </w:r>
      <w:r w:rsidRPr="000C0C46">
        <w:rPr>
          <w:rFonts w:ascii="Arial" w:hAnsi="Arial" w:cs="Arial"/>
        </w:rPr>
        <w:t xml:space="preserve">većinom </w:t>
      </w:r>
      <w:r w:rsidR="00894000" w:rsidRPr="000C0C46">
        <w:rPr>
          <w:rFonts w:ascii="Arial" w:hAnsi="Arial" w:cs="Arial"/>
        </w:rPr>
        <w:t xml:space="preserve">su </w:t>
      </w:r>
      <w:r w:rsidRPr="000C0C46">
        <w:rPr>
          <w:rFonts w:ascii="Arial" w:hAnsi="Arial" w:cs="Arial"/>
        </w:rPr>
        <w:t>osigurani iz gradskih sredstava</w:t>
      </w:r>
      <w:r w:rsidR="000C0C46">
        <w:rPr>
          <w:rFonts w:ascii="Arial" w:hAnsi="Arial" w:cs="Arial"/>
        </w:rPr>
        <w:t xml:space="preserve"> (</w:t>
      </w:r>
      <w:r w:rsidR="00894000" w:rsidRPr="000C0C46">
        <w:rPr>
          <w:rFonts w:ascii="Arial" w:hAnsi="Arial" w:cs="Arial"/>
        </w:rPr>
        <w:t xml:space="preserve">21.128,22 </w:t>
      </w:r>
      <w:proofErr w:type="gramStart"/>
      <w:r w:rsidR="00894000" w:rsidRPr="000C0C46">
        <w:rPr>
          <w:rFonts w:ascii="Arial" w:hAnsi="Arial" w:cs="Arial"/>
        </w:rPr>
        <w:t xml:space="preserve">kn) </w:t>
      </w:r>
      <w:r w:rsidRPr="000C0C46">
        <w:rPr>
          <w:rFonts w:ascii="Arial" w:hAnsi="Arial" w:cs="Arial"/>
        </w:rPr>
        <w:t xml:space="preserve"> </w:t>
      </w:r>
      <w:r w:rsidR="00894000" w:rsidRPr="000C0C46">
        <w:rPr>
          <w:rFonts w:ascii="Arial" w:hAnsi="Arial" w:cs="Arial"/>
        </w:rPr>
        <w:t>i</w:t>
      </w:r>
      <w:proofErr w:type="gramEnd"/>
      <w:r w:rsidR="00894000" w:rsidRPr="000C0C46">
        <w:rPr>
          <w:rFonts w:ascii="Arial" w:hAnsi="Arial" w:cs="Arial"/>
        </w:rPr>
        <w:t xml:space="preserve"> utrošeni</w:t>
      </w:r>
      <w:r w:rsidRPr="000C0C46">
        <w:rPr>
          <w:rFonts w:ascii="Arial" w:hAnsi="Arial" w:cs="Arial"/>
        </w:rPr>
        <w:t xml:space="preserve"> na polaganje stručnog ispita za zvanje kustosice,te obavljanje arhivskog istraživanja u Hrvatskom državnom arhivu u Zagrebu. </w:t>
      </w:r>
      <w:r w:rsidR="00894000" w:rsidRPr="000C0C46">
        <w:rPr>
          <w:rFonts w:ascii="Arial" w:hAnsi="Arial" w:cs="Arial"/>
        </w:rPr>
        <w:t>Ti se rashodi odnose na troškove prijevoza i dnevnice.</w:t>
      </w:r>
    </w:p>
    <w:p w:rsidR="000C0C46" w:rsidRPr="000C0C46" w:rsidRDefault="000C0C46" w:rsidP="000C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53BB" w:rsidRPr="000C0C46" w:rsidRDefault="00894000" w:rsidP="00A40D21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Najveću stavku u rashodima čine rashodi za izložbenu djelatnost (111.490,52 kun</w:t>
      </w:r>
      <w:r w:rsidR="00761A4E">
        <w:rPr>
          <w:rFonts w:ascii="Arial" w:hAnsi="Arial" w:cs="Arial"/>
        </w:rPr>
        <w:t xml:space="preserve">a od planiranih 119.600,00 </w:t>
      </w:r>
      <w:proofErr w:type="gramStart"/>
      <w:r w:rsidR="00761A4E">
        <w:rPr>
          <w:rFonts w:ascii="Arial" w:hAnsi="Arial" w:cs="Arial"/>
        </w:rPr>
        <w:t>kn ,</w:t>
      </w:r>
      <w:r w:rsidRPr="000C0C46">
        <w:rPr>
          <w:rFonts w:ascii="Arial" w:hAnsi="Arial" w:cs="Arial"/>
        </w:rPr>
        <w:t>tj</w:t>
      </w:r>
      <w:proofErr w:type="gramEnd"/>
      <w:r w:rsidRPr="000C0C46">
        <w:rPr>
          <w:rFonts w:ascii="Arial" w:hAnsi="Arial" w:cs="Arial"/>
        </w:rPr>
        <w:t>. 93</w:t>
      </w:r>
      <w:proofErr w:type="gramStart"/>
      <w:r w:rsidRPr="000C0C46">
        <w:rPr>
          <w:rFonts w:ascii="Arial" w:hAnsi="Arial" w:cs="Arial"/>
        </w:rPr>
        <w:t>% )</w:t>
      </w:r>
      <w:proofErr w:type="gramEnd"/>
      <w:r w:rsidRPr="000C0C46">
        <w:rPr>
          <w:rFonts w:ascii="Arial" w:hAnsi="Arial" w:cs="Arial"/>
        </w:rPr>
        <w:t xml:space="preserve"> i čine 57,33%  rashoda za intelektualne usluge financirane iz općih prihoda.</w:t>
      </w:r>
    </w:p>
    <w:p w:rsidR="00AC7470" w:rsidRPr="000C0C46" w:rsidRDefault="00AC7470" w:rsidP="00AC7470">
      <w:pPr>
        <w:jc w:val="both"/>
        <w:rPr>
          <w:rFonts w:ascii="Arial" w:hAnsi="Arial" w:cs="Arial"/>
          <w:bCs/>
        </w:rPr>
      </w:pPr>
      <w:r w:rsidRPr="000C0C46">
        <w:rPr>
          <w:rFonts w:ascii="Arial" w:hAnsi="Arial" w:cs="Arial"/>
        </w:rPr>
        <w:t xml:space="preserve">U 2021. godini ostvareno je nekoliko izložbi od kojih su Dubrovački muzeji imali rashode samo za </w:t>
      </w:r>
      <w:proofErr w:type="gramStart"/>
      <w:r w:rsidRPr="000C0C46">
        <w:rPr>
          <w:rFonts w:ascii="Arial" w:hAnsi="Arial" w:cs="Arial"/>
        </w:rPr>
        <w:t>izložbe :</w:t>
      </w:r>
      <w:proofErr w:type="gramEnd"/>
      <w:r w:rsidRPr="000C0C46">
        <w:rPr>
          <w:rFonts w:ascii="Arial" w:hAnsi="Arial" w:cs="Arial"/>
        </w:rPr>
        <w:t xml:space="preserve"> </w:t>
      </w:r>
      <w:r w:rsidR="000E2864" w:rsidRPr="000C0C46">
        <w:rPr>
          <w:rFonts w:ascii="Arial" w:hAnsi="Arial" w:cs="Arial"/>
          <w:bCs/>
          <w:iCs/>
        </w:rPr>
        <w:t>Cvijet u kamenu</w:t>
      </w:r>
      <w:r w:rsidRPr="000C0C46">
        <w:rPr>
          <w:rFonts w:ascii="Arial" w:hAnsi="Arial" w:cs="Arial"/>
          <w:bCs/>
          <w:iCs/>
        </w:rPr>
        <w:t xml:space="preserve"> (</w:t>
      </w:r>
      <w:r w:rsidR="000E2864" w:rsidRPr="000C0C46">
        <w:rPr>
          <w:rFonts w:ascii="Arial" w:hAnsi="Arial" w:cs="Arial"/>
          <w:bCs/>
        </w:rPr>
        <w:t>18.385,54</w:t>
      </w:r>
      <w:r w:rsidRPr="000C0C46">
        <w:rPr>
          <w:rFonts w:ascii="Arial" w:hAnsi="Arial" w:cs="Arial"/>
          <w:bCs/>
        </w:rPr>
        <w:t xml:space="preserve"> kn ), </w:t>
      </w:r>
      <w:r w:rsidR="000E2864" w:rsidRPr="000C0C46">
        <w:rPr>
          <w:rFonts w:ascii="Arial" w:hAnsi="Arial" w:cs="Arial"/>
          <w:bCs/>
          <w:iCs/>
        </w:rPr>
        <w:t>Napoleonova cesta u Dalmaciji – doprinos francuske uprave u</w:t>
      </w:r>
      <w:r w:rsidRPr="000C0C46">
        <w:rPr>
          <w:rFonts w:ascii="Arial" w:hAnsi="Arial" w:cs="Arial"/>
        </w:rPr>
        <w:t xml:space="preserve"> </w:t>
      </w:r>
      <w:r w:rsidR="000E2864" w:rsidRPr="000C0C46">
        <w:rPr>
          <w:rFonts w:ascii="Arial" w:hAnsi="Arial" w:cs="Arial"/>
          <w:bCs/>
          <w:iCs/>
        </w:rPr>
        <w:t>razvoju cestogradnje u Dalmaciji početkom 19.st</w:t>
      </w:r>
      <w:r w:rsidR="000E2864" w:rsidRPr="000C0C46">
        <w:rPr>
          <w:rFonts w:ascii="Arial" w:hAnsi="Arial" w:cs="Arial"/>
          <w:bCs/>
        </w:rPr>
        <w:t>.</w:t>
      </w:r>
      <w:r w:rsidRPr="000C0C46">
        <w:rPr>
          <w:rFonts w:ascii="Arial" w:hAnsi="Arial" w:cs="Arial"/>
          <w:bCs/>
        </w:rPr>
        <w:t xml:space="preserve">( </w:t>
      </w:r>
      <w:r w:rsidR="000E2864" w:rsidRPr="000C0C46">
        <w:rPr>
          <w:rFonts w:ascii="Arial" w:hAnsi="Arial" w:cs="Arial"/>
          <w:bCs/>
        </w:rPr>
        <w:t>474,53 kn</w:t>
      </w:r>
      <w:r w:rsidRPr="000C0C46">
        <w:rPr>
          <w:rFonts w:ascii="Arial" w:hAnsi="Arial" w:cs="Arial"/>
          <w:bCs/>
        </w:rPr>
        <w:t xml:space="preserve"> samo osiguranje- gostujuća izložba), </w:t>
      </w:r>
      <w:r w:rsidR="000E2864" w:rsidRPr="000C0C46">
        <w:rPr>
          <w:rFonts w:ascii="Arial" w:hAnsi="Arial" w:cs="Arial"/>
          <w:bCs/>
          <w:iCs/>
        </w:rPr>
        <w:t>Moje Konavle – stare fotografije iz privatnih zbirki – prikupila Katica</w:t>
      </w:r>
      <w:r w:rsidRPr="000C0C46">
        <w:rPr>
          <w:rFonts w:ascii="Arial" w:hAnsi="Arial" w:cs="Arial"/>
        </w:rPr>
        <w:t xml:space="preserve"> </w:t>
      </w:r>
      <w:r w:rsidR="000E2864" w:rsidRPr="000C0C46">
        <w:rPr>
          <w:rFonts w:ascii="Arial" w:hAnsi="Arial" w:cs="Arial"/>
          <w:bCs/>
          <w:iCs/>
        </w:rPr>
        <w:t>Radić</w:t>
      </w:r>
      <w:r w:rsidRPr="000C0C46">
        <w:rPr>
          <w:rFonts w:ascii="Arial" w:hAnsi="Arial" w:cs="Arial"/>
          <w:bCs/>
          <w:iCs/>
        </w:rPr>
        <w:t xml:space="preserve"> ( </w:t>
      </w:r>
      <w:r w:rsidR="000E2864" w:rsidRPr="000C0C46">
        <w:rPr>
          <w:rFonts w:ascii="Arial" w:hAnsi="Arial" w:cs="Arial"/>
          <w:bCs/>
        </w:rPr>
        <w:t>40.607,91</w:t>
      </w:r>
      <w:r w:rsidRPr="000C0C46">
        <w:rPr>
          <w:rFonts w:ascii="Arial" w:hAnsi="Arial" w:cs="Arial"/>
          <w:bCs/>
        </w:rPr>
        <w:t xml:space="preserve"> kn ) , </w:t>
      </w:r>
      <w:r w:rsidR="000E2864" w:rsidRPr="000C0C46">
        <w:rPr>
          <w:rFonts w:ascii="Arial" w:hAnsi="Arial" w:cs="Arial"/>
          <w:bCs/>
          <w:iCs/>
        </w:rPr>
        <w:t>Biseri južnoga mora – Turistička kultura i arhitektura dubrovačke</w:t>
      </w:r>
      <w:r w:rsidRPr="000C0C46">
        <w:rPr>
          <w:rFonts w:ascii="Arial" w:hAnsi="Arial" w:cs="Arial"/>
          <w:bCs/>
          <w:iCs/>
        </w:rPr>
        <w:t xml:space="preserve"> </w:t>
      </w:r>
      <w:r w:rsidR="000E2864" w:rsidRPr="000C0C46">
        <w:rPr>
          <w:rFonts w:ascii="Arial" w:hAnsi="Arial" w:cs="Arial"/>
          <w:bCs/>
          <w:iCs/>
        </w:rPr>
        <w:t xml:space="preserve">rivijere </w:t>
      </w:r>
      <w:r w:rsidR="000E2864" w:rsidRPr="000C0C46">
        <w:rPr>
          <w:rFonts w:ascii="Arial" w:hAnsi="Arial" w:cs="Arial"/>
          <w:bCs/>
        </w:rPr>
        <w:t>20.stoljeća</w:t>
      </w:r>
      <w:r w:rsidRPr="000C0C46">
        <w:rPr>
          <w:rFonts w:ascii="Arial" w:hAnsi="Arial" w:cs="Arial"/>
          <w:bCs/>
        </w:rPr>
        <w:t xml:space="preserve"> (</w:t>
      </w:r>
      <w:r w:rsidR="000E2864" w:rsidRPr="000C0C46">
        <w:rPr>
          <w:rFonts w:ascii="Arial" w:hAnsi="Arial" w:cs="Arial"/>
          <w:bCs/>
        </w:rPr>
        <w:t>47.083,79</w:t>
      </w:r>
      <w:r w:rsidRPr="000C0C46">
        <w:rPr>
          <w:rFonts w:ascii="Arial" w:hAnsi="Arial" w:cs="Arial"/>
          <w:bCs/>
        </w:rPr>
        <w:t xml:space="preserve"> kn ). Također je odrađen vizualni identitet za izložbu povodom 150 godina Dubrovačkih muzeja u iznosu od 15.000,00 kn.</w:t>
      </w:r>
      <w:r w:rsidR="00C9163F" w:rsidRPr="000C0C46">
        <w:rPr>
          <w:rFonts w:ascii="Arial" w:hAnsi="Arial" w:cs="Arial"/>
          <w:bCs/>
        </w:rPr>
        <w:t xml:space="preserve"> </w:t>
      </w:r>
      <w:r w:rsidRPr="000C0C46">
        <w:rPr>
          <w:rFonts w:ascii="Arial" w:hAnsi="Arial" w:cs="Arial"/>
          <w:bCs/>
        </w:rPr>
        <w:t xml:space="preserve">Rashodi ovih izložbi su pokriveni iz općih </w:t>
      </w:r>
      <w:proofErr w:type="gramStart"/>
      <w:r w:rsidRPr="000C0C46">
        <w:rPr>
          <w:rFonts w:ascii="Arial" w:hAnsi="Arial" w:cs="Arial"/>
          <w:bCs/>
        </w:rPr>
        <w:t>primitaka,</w:t>
      </w:r>
      <w:r w:rsidR="00C9163F" w:rsidRPr="000C0C46">
        <w:rPr>
          <w:rFonts w:ascii="Arial" w:hAnsi="Arial" w:cs="Arial"/>
          <w:bCs/>
        </w:rPr>
        <w:t>osim</w:t>
      </w:r>
      <w:proofErr w:type="gramEnd"/>
      <w:r w:rsidR="00C9163F" w:rsidRPr="000C0C46">
        <w:rPr>
          <w:rFonts w:ascii="Arial" w:hAnsi="Arial" w:cs="Arial"/>
          <w:bCs/>
        </w:rPr>
        <w:t xml:space="preserve"> odobrenih </w:t>
      </w:r>
      <w:r w:rsidR="00C9163F" w:rsidRPr="000C0C46">
        <w:rPr>
          <w:rFonts w:ascii="Arial" w:hAnsi="Arial" w:cs="Arial"/>
          <w:bCs/>
        </w:rPr>
        <w:lastRenderedPageBreak/>
        <w:t xml:space="preserve">10.000,00 kuna od strane Ministarstva kulture za izložbu </w:t>
      </w:r>
      <w:r w:rsidR="00C9163F" w:rsidRPr="000C0C46">
        <w:rPr>
          <w:rFonts w:ascii="Arial" w:hAnsi="Arial" w:cs="Arial"/>
          <w:bCs/>
          <w:iCs/>
        </w:rPr>
        <w:t xml:space="preserve">Biseri južnoga mora – Turistička kultura i arhitektura dubrovačke rivijere </w:t>
      </w:r>
      <w:r w:rsidR="00C9163F" w:rsidRPr="000C0C46">
        <w:rPr>
          <w:rFonts w:ascii="Arial" w:hAnsi="Arial" w:cs="Arial"/>
          <w:bCs/>
        </w:rPr>
        <w:t>20.stoljeća</w:t>
      </w:r>
      <w:r w:rsidRPr="000C0C46">
        <w:rPr>
          <w:rFonts w:ascii="Arial" w:hAnsi="Arial" w:cs="Arial"/>
          <w:bCs/>
        </w:rPr>
        <w:t xml:space="preserve"> </w:t>
      </w:r>
      <w:r w:rsidR="00C9163F" w:rsidRPr="000C0C46">
        <w:rPr>
          <w:rFonts w:ascii="Arial" w:hAnsi="Arial" w:cs="Arial"/>
          <w:bCs/>
        </w:rPr>
        <w:t xml:space="preserve">. </w:t>
      </w:r>
    </w:p>
    <w:p w:rsidR="003B142F" w:rsidRPr="000C0C46" w:rsidRDefault="00AC7470" w:rsidP="000C0C46">
      <w:pPr>
        <w:jc w:val="both"/>
        <w:rPr>
          <w:rFonts w:ascii="Arial" w:hAnsi="Arial" w:cs="Arial"/>
          <w:bCs/>
        </w:rPr>
      </w:pPr>
      <w:r w:rsidRPr="000C0C46">
        <w:rPr>
          <w:rFonts w:ascii="Arial" w:hAnsi="Arial" w:cs="Arial"/>
          <w:bCs/>
        </w:rPr>
        <w:t>Izložba S</w:t>
      </w:r>
      <w:r w:rsidR="000E2864" w:rsidRPr="000C0C46">
        <w:rPr>
          <w:rFonts w:ascii="Arial" w:hAnsi="Arial" w:cs="Arial"/>
          <w:bCs/>
          <w:iCs/>
        </w:rPr>
        <w:t>kriveno blago Makedonije – Ljepota koja ne poznaje granice</w:t>
      </w:r>
      <w:r w:rsidRPr="000C0C46">
        <w:rPr>
          <w:rFonts w:ascii="Arial" w:hAnsi="Arial" w:cs="Arial"/>
        </w:rPr>
        <w:t xml:space="preserve"> bila je na gostovanju </w:t>
      </w:r>
      <w:r w:rsidR="000E2864" w:rsidRPr="000C0C46">
        <w:rPr>
          <w:rFonts w:ascii="Arial" w:hAnsi="Arial" w:cs="Arial"/>
          <w:bCs/>
        </w:rPr>
        <w:t>povodom 55. Međunarodne smotre u Zagrebu</w:t>
      </w:r>
      <w:r w:rsidRPr="000C0C46">
        <w:rPr>
          <w:rFonts w:ascii="Arial" w:hAnsi="Arial" w:cs="Arial"/>
          <w:bCs/>
        </w:rPr>
        <w:t xml:space="preserve"> i troškovi postavljanja te izložbe financirani su iz vlastitih sredstava </w:t>
      </w:r>
      <w:r w:rsidR="00894000" w:rsidRPr="000C0C46">
        <w:rPr>
          <w:rFonts w:ascii="Arial" w:hAnsi="Arial" w:cs="Arial"/>
          <w:bCs/>
        </w:rPr>
        <w:t>i</w:t>
      </w:r>
      <w:r w:rsidRPr="000C0C46">
        <w:rPr>
          <w:rFonts w:ascii="Arial" w:hAnsi="Arial" w:cs="Arial"/>
          <w:bCs/>
        </w:rPr>
        <w:t xml:space="preserve"> iznose tek</w:t>
      </w:r>
      <w:r w:rsidR="00C9163F" w:rsidRPr="000C0C46">
        <w:rPr>
          <w:rFonts w:ascii="Arial" w:hAnsi="Arial" w:cs="Arial"/>
          <w:bCs/>
        </w:rPr>
        <w:t xml:space="preserve"> 3,51% ukupnih troškova po ovoj aktivnosti.</w:t>
      </w:r>
    </w:p>
    <w:p w:rsidR="00B55E22" w:rsidRPr="000C0C46" w:rsidRDefault="00C9163F" w:rsidP="003B1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 xml:space="preserve">U izdavačkoj aktivnosti rashodi su pokriveni iz općih prihoda </w:t>
      </w:r>
      <w:r w:rsidR="00B55E22" w:rsidRPr="000C0C46">
        <w:rPr>
          <w:rFonts w:ascii="Arial" w:hAnsi="Arial" w:cs="Arial"/>
        </w:rPr>
        <w:t xml:space="preserve">u iznosu od 49.700,33 kn od planiranih 72.500,00 </w:t>
      </w:r>
      <w:proofErr w:type="gramStart"/>
      <w:r w:rsidR="00B55E22" w:rsidRPr="000C0C46">
        <w:rPr>
          <w:rFonts w:ascii="Arial" w:hAnsi="Arial" w:cs="Arial"/>
        </w:rPr>
        <w:t>kn ,tj</w:t>
      </w:r>
      <w:proofErr w:type="gramEnd"/>
      <w:r w:rsidR="00B55E22" w:rsidRPr="000C0C46">
        <w:rPr>
          <w:rFonts w:ascii="Arial" w:hAnsi="Arial" w:cs="Arial"/>
        </w:rPr>
        <w:t>. 69</w:t>
      </w:r>
      <w:proofErr w:type="gramStart"/>
      <w:r w:rsidR="00B55E22" w:rsidRPr="000C0C46">
        <w:rPr>
          <w:rFonts w:ascii="Arial" w:hAnsi="Arial" w:cs="Arial"/>
        </w:rPr>
        <w:t>% .</w:t>
      </w:r>
      <w:proofErr w:type="gramEnd"/>
      <w:r w:rsidR="00B55E22" w:rsidRPr="000C0C46">
        <w:rPr>
          <w:rFonts w:ascii="Arial" w:hAnsi="Arial" w:cs="Arial"/>
        </w:rPr>
        <w:t xml:space="preserve"> U 2021. godini ulagalo se u izradu kataloga zbirke</w:t>
      </w:r>
      <w:r w:rsidR="006232E1">
        <w:rPr>
          <w:rFonts w:ascii="Arial" w:hAnsi="Arial" w:cs="Arial"/>
        </w:rPr>
        <w:t xml:space="preserve"> </w:t>
      </w:r>
      <w:proofErr w:type="gramStart"/>
      <w:r w:rsidR="006232E1">
        <w:rPr>
          <w:rFonts w:ascii="Arial" w:hAnsi="Arial" w:cs="Arial"/>
        </w:rPr>
        <w:t>“</w:t>
      </w:r>
      <w:r w:rsidR="00B55E22" w:rsidRPr="000C0C46">
        <w:rPr>
          <w:rFonts w:ascii="Arial" w:hAnsi="Arial" w:cs="Arial"/>
        </w:rPr>
        <w:t xml:space="preserve"> Gravirana</w:t>
      </w:r>
      <w:proofErr w:type="gramEnd"/>
      <w:r w:rsidR="00B55E22" w:rsidRPr="000C0C46">
        <w:rPr>
          <w:rFonts w:ascii="Arial" w:hAnsi="Arial" w:cs="Arial"/>
        </w:rPr>
        <w:t xml:space="preserve"> keramika</w:t>
      </w:r>
      <w:r w:rsidR="006232E1">
        <w:rPr>
          <w:rFonts w:ascii="Arial" w:hAnsi="Arial" w:cs="Arial"/>
        </w:rPr>
        <w:t>”</w:t>
      </w:r>
      <w:r w:rsidR="00B55E22" w:rsidRPr="000C0C46">
        <w:rPr>
          <w:rFonts w:ascii="Arial" w:hAnsi="Arial" w:cs="Arial"/>
        </w:rPr>
        <w:t xml:space="preserve"> za koju je odrađeno grafičko oblikovanje,</w:t>
      </w:r>
      <w:r w:rsidR="003B142F" w:rsidRPr="000C0C46">
        <w:rPr>
          <w:rFonts w:ascii="Arial" w:hAnsi="Arial" w:cs="Arial"/>
        </w:rPr>
        <w:t xml:space="preserve"> </w:t>
      </w:r>
      <w:r w:rsidR="00B55E22" w:rsidRPr="000C0C46">
        <w:rPr>
          <w:rFonts w:ascii="Arial" w:hAnsi="Arial" w:cs="Arial"/>
        </w:rPr>
        <w:t>lektura, korektura,</w:t>
      </w:r>
      <w:r w:rsidR="003B142F" w:rsidRPr="000C0C46">
        <w:rPr>
          <w:rFonts w:ascii="Arial" w:hAnsi="Arial" w:cs="Arial"/>
        </w:rPr>
        <w:t xml:space="preserve"> </w:t>
      </w:r>
      <w:r w:rsidR="00B55E22" w:rsidRPr="000C0C46">
        <w:rPr>
          <w:rFonts w:ascii="Arial" w:hAnsi="Arial" w:cs="Arial"/>
        </w:rPr>
        <w:t xml:space="preserve">recenzije i prijevod na engleski </w:t>
      </w:r>
      <w:r w:rsidR="003B142F" w:rsidRPr="000C0C46">
        <w:rPr>
          <w:rFonts w:ascii="Arial" w:hAnsi="Arial" w:cs="Arial"/>
        </w:rPr>
        <w:t xml:space="preserve">jezik </w:t>
      </w:r>
      <w:r w:rsidR="00B55E22" w:rsidRPr="000C0C46">
        <w:rPr>
          <w:rFonts w:ascii="Arial" w:hAnsi="Arial" w:cs="Arial"/>
        </w:rPr>
        <w:t xml:space="preserve">dok se tisak planirao iz namjenskih sredstava putem donacije u iznosu </w:t>
      </w:r>
      <w:r w:rsidR="003B142F" w:rsidRPr="000C0C46">
        <w:rPr>
          <w:rFonts w:ascii="Arial" w:hAnsi="Arial" w:cs="Arial"/>
        </w:rPr>
        <w:t>od 30.000 kn ali se nije uspio realizirati i</w:t>
      </w:r>
      <w:r w:rsidR="006232E1">
        <w:rPr>
          <w:rFonts w:ascii="Arial" w:hAnsi="Arial" w:cs="Arial"/>
        </w:rPr>
        <w:t xml:space="preserve"> </w:t>
      </w:r>
      <w:r w:rsidR="00B55E22" w:rsidRPr="000C0C46">
        <w:rPr>
          <w:rFonts w:ascii="Arial" w:hAnsi="Arial" w:cs="Arial"/>
        </w:rPr>
        <w:t xml:space="preserve"> planira </w:t>
      </w:r>
      <w:r w:rsidR="006232E1">
        <w:rPr>
          <w:rFonts w:ascii="Arial" w:hAnsi="Arial" w:cs="Arial"/>
        </w:rPr>
        <w:t xml:space="preserve">se </w:t>
      </w:r>
      <w:r w:rsidR="00B55E22" w:rsidRPr="000C0C46">
        <w:rPr>
          <w:rFonts w:ascii="Arial" w:hAnsi="Arial" w:cs="Arial"/>
        </w:rPr>
        <w:t>u 2022. godini</w:t>
      </w:r>
      <w:r w:rsidR="003B142F" w:rsidRPr="000C0C46">
        <w:rPr>
          <w:rFonts w:ascii="Arial" w:hAnsi="Arial" w:cs="Arial"/>
        </w:rPr>
        <w:t>.</w:t>
      </w:r>
    </w:p>
    <w:p w:rsidR="00B65D93" w:rsidRPr="000C0C46" w:rsidRDefault="00B65D93" w:rsidP="003B142F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Također je rađeno i na grafičkom oblikovanju</w:t>
      </w:r>
      <w:r w:rsidR="003B142F" w:rsidRPr="000C0C46">
        <w:rPr>
          <w:rFonts w:ascii="Arial" w:hAnsi="Arial" w:cs="Arial"/>
        </w:rPr>
        <w:t xml:space="preserve"> i recenzijama</w:t>
      </w:r>
      <w:r w:rsidRPr="000C0C46">
        <w:rPr>
          <w:rFonts w:ascii="Arial" w:hAnsi="Arial" w:cs="Arial"/>
        </w:rPr>
        <w:t xml:space="preserve"> edukativne publikacije”</w:t>
      </w:r>
      <w:r w:rsidRPr="000C0C46">
        <w:rPr>
          <w:rFonts w:ascii="Arial" w:hAnsi="Arial" w:cs="Arial"/>
          <w:iCs/>
        </w:rPr>
        <w:t xml:space="preserve"> Dubrovačka turistička trilogija: Putuj, uči i vrati se kući”</w:t>
      </w:r>
      <w:r w:rsidRPr="000C0C46">
        <w:rPr>
          <w:rFonts w:ascii="Arial" w:hAnsi="Arial" w:cs="Arial"/>
        </w:rPr>
        <w:t>.</w:t>
      </w:r>
    </w:p>
    <w:p w:rsidR="00E25AB1" w:rsidRPr="000C0C46" w:rsidRDefault="00560DAA" w:rsidP="003B142F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Edukativna djelatnost</w:t>
      </w:r>
      <w:r w:rsidR="006232E1">
        <w:rPr>
          <w:rFonts w:ascii="Arial" w:hAnsi="Arial" w:cs="Arial"/>
        </w:rPr>
        <w:t>, koja</w:t>
      </w:r>
      <w:r w:rsidRPr="000C0C46">
        <w:rPr>
          <w:rFonts w:ascii="Arial" w:hAnsi="Arial" w:cs="Arial"/>
        </w:rPr>
        <w:t xml:space="preserve"> </w:t>
      </w:r>
      <w:r w:rsidR="006232E1" w:rsidRPr="000C0C46">
        <w:rPr>
          <w:rFonts w:ascii="Arial" w:hAnsi="Arial" w:cs="Arial"/>
        </w:rPr>
        <w:t>djelatnost uključuje stručna vodstva naših kustosa kao i troškove za nabavu materijala za radionice i igraonice u dječjem kutku Kulturno-povijesnog i Pomo</w:t>
      </w:r>
      <w:r w:rsidR="006232E1">
        <w:rPr>
          <w:rFonts w:ascii="Arial" w:hAnsi="Arial" w:cs="Arial"/>
        </w:rPr>
        <w:t xml:space="preserve">rskog </w:t>
      </w:r>
      <w:proofErr w:type="gramStart"/>
      <w:r w:rsidR="006232E1">
        <w:rPr>
          <w:rFonts w:ascii="Arial" w:hAnsi="Arial" w:cs="Arial"/>
        </w:rPr>
        <w:t>muzeja,</w:t>
      </w:r>
      <w:r w:rsidRPr="000C0C46">
        <w:rPr>
          <w:rFonts w:ascii="Arial" w:hAnsi="Arial" w:cs="Arial"/>
        </w:rPr>
        <w:t>ostvarena</w:t>
      </w:r>
      <w:proofErr w:type="gramEnd"/>
      <w:r w:rsidRPr="000C0C46">
        <w:rPr>
          <w:rFonts w:ascii="Arial" w:hAnsi="Arial" w:cs="Arial"/>
        </w:rPr>
        <w:t xml:space="preserve"> je najvećim dijelom iz gradskih sredstava u iznosu 6.900,28 kuna što je 81% planiranih rashoda u tekućem planu za ovu aktivnost. </w:t>
      </w:r>
    </w:p>
    <w:p w:rsidR="00560DAA" w:rsidRPr="000C0C46" w:rsidRDefault="00560DAA" w:rsidP="00560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 xml:space="preserve">Odnosi s javnošću i marketinška djelatnost se tijekom 2021. godine kao i 2020. godine odvijala znatno drugačije u odnosu na prethodne godine, s obzirom da Dubrovački muzeji od ožujka 2020. godine posluju u otežanim uvjetima i sa znatno smanjenim financijskim sredstvima, na što je direktno utjecala svjetska ekonomska kriza uzrokovana pandemijom virusa COVID – 19. Marketinšku aktivnost Muzeji su i ovu godinu usmjerili na besplatnu direktnu komunikaciju s publikom i to preko društvenih i mrežnih stranica. Od rashoda koji su pokriveni iz općih prihoda treba istaknuti rashode za Press cut (praćenje pojavljivanja u medijima), te održavanje web stranice. </w:t>
      </w:r>
    </w:p>
    <w:p w:rsidR="00560DAA" w:rsidRPr="000C0C46" w:rsidRDefault="00560DAA" w:rsidP="00560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0C46">
        <w:rPr>
          <w:rFonts w:ascii="Arial" w:hAnsi="Arial" w:cs="Arial"/>
          <w:bCs/>
        </w:rPr>
        <w:t xml:space="preserve"> Za proizvodnju novih i popunjavanje zaliha postojećih suvenira upotpunjenih pripadajućom ambalažom i certifikatima te nabavku proizvoda za samouslužne aparate izdvojilo se 55% odnosno 69.217,57 kn od planiranih 127.000,00 </w:t>
      </w:r>
      <w:proofErr w:type="gramStart"/>
      <w:r w:rsidRPr="000C0C46">
        <w:rPr>
          <w:rFonts w:ascii="Arial" w:hAnsi="Arial" w:cs="Arial"/>
          <w:bCs/>
        </w:rPr>
        <w:t>kn .</w:t>
      </w:r>
      <w:proofErr w:type="gramEnd"/>
      <w:r w:rsidRPr="000C0C46">
        <w:rPr>
          <w:rFonts w:ascii="Arial" w:hAnsi="Arial" w:cs="Arial"/>
          <w:bCs/>
        </w:rPr>
        <w:t xml:space="preserve"> Razlog tome je i višak prenesen iz prethodne godine u iznosu od 33.997,90 koji se utrošio u ovu svrhu. Muzejska suvenirnica se i dalje kao i 2020. </w:t>
      </w:r>
      <w:proofErr w:type="gramStart"/>
      <w:r w:rsidRPr="000C0C46">
        <w:rPr>
          <w:rFonts w:ascii="Arial" w:hAnsi="Arial" w:cs="Arial"/>
          <w:bCs/>
        </w:rPr>
        <w:t xml:space="preserve">godine </w:t>
      </w:r>
      <w:r w:rsidRPr="000C0C46">
        <w:rPr>
          <w:rFonts w:ascii="Arial" w:hAnsi="Arial" w:cs="Arial"/>
        </w:rPr>
        <w:t xml:space="preserve"> nastavila</w:t>
      </w:r>
      <w:proofErr w:type="gramEnd"/>
      <w:r w:rsidRPr="000C0C46">
        <w:rPr>
          <w:rFonts w:ascii="Arial" w:hAnsi="Arial" w:cs="Arial"/>
        </w:rPr>
        <w:t xml:space="preserve"> promovirati putem društvenih stranica Dubrovačkih muzeja – Facebooka i Instagrama. Veliku stavku u financiranju iz vlastitih prihoda čini redizajn web stranice Dubrovačkih muzeja </w:t>
      </w:r>
      <w:proofErr w:type="gramStart"/>
      <w:r w:rsidRPr="000C0C46">
        <w:rPr>
          <w:rFonts w:ascii="Arial" w:hAnsi="Arial" w:cs="Arial"/>
        </w:rPr>
        <w:t>( 23</w:t>
      </w:r>
      <w:proofErr w:type="gramEnd"/>
      <w:r w:rsidRPr="000C0C46">
        <w:rPr>
          <w:rFonts w:ascii="Arial" w:hAnsi="Arial" w:cs="Arial"/>
        </w:rPr>
        <w:t xml:space="preserve">,82 % ukupno utrošenih vlastitih prihoda za ovu aktivnost ) </w:t>
      </w:r>
      <w:r w:rsidR="001076D9" w:rsidRPr="000C0C46">
        <w:rPr>
          <w:rFonts w:ascii="Arial" w:hAnsi="Arial" w:cs="Arial"/>
        </w:rPr>
        <w:t xml:space="preserve">, odnosno 99,23% rashoda ostvarenih za  intelektualne usluge planirane iz </w:t>
      </w:r>
      <w:r w:rsidRPr="000C0C46">
        <w:rPr>
          <w:rFonts w:ascii="Arial" w:hAnsi="Arial" w:cs="Arial"/>
        </w:rPr>
        <w:t xml:space="preserve"> </w:t>
      </w:r>
      <w:r w:rsidR="001076D9" w:rsidRPr="000C0C46">
        <w:rPr>
          <w:rFonts w:ascii="Arial" w:hAnsi="Arial" w:cs="Arial"/>
        </w:rPr>
        <w:t>vlastitih prihoda.</w:t>
      </w:r>
    </w:p>
    <w:p w:rsidR="000C0C46" w:rsidRDefault="000C0C46" w:rsidP="00E25AB1">
      <w:pPr>
        <w:jc w:val="both"/>
        <w:rPr>
          <w:rFonts w:ascii="Arial" w:hAnsi="Arial" w:cs="Arial"/>
        </w:rPr>
      </w:pPr>
    </w:p>
    <w:p w:rsidR="00A71528" w:rsidRPr="000C0C46" w:rsidRDefault="00A71528" w:rsidP="00E25AB1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 xml:space="preserve">Opći prihodi utrošeni </w:t>
      </w:r>
      <w:r w:rsidR="001076D9" w:rsidRPr="000C0C46">
        <w:rPr>
          <w:rFonts w:ascii="Arial" w:hAnsi="Arial" w:cs="Arial"/>
        </w:rPr>
        <w:t>o</w:t>
      </w:r>
      <w:r w:rsidRPr="000C0C46">
        <w:rPr>
          <w:rFonts w:ascii="Arial" w:hAnsi="Arial" w:cs="Arial"/>
        </w:rPr>
        <w:t>državanje vrata i prozora (br</w:t>
      </w:r>
      <w:r w:rsidR="001076D9" w:rsidRPr="000C0C46">
        <w:rPr>
          <w:rFonts w:ascii="Arial" w:hAnsi="Arial" w:cs="Arial"/>
        </w:rPr>
        <w:t>ušenje i bojanje) Kneževa Dvora čine dio materijalnih rashoda.</w:t>
      </w:r>
    </w:p>
    <w:p w:rsidR="001076D9" w:rsidRPr="000C0C46" w:rsidRDefault="001076D9" w:rsidP="00E25AB1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I</w:t>
      </w:r>
      <w:r w:rsidR="00300F67" w:rsidRPr="000C0C46">
        <w:rPr>
          <w:rFonts w:ascii="Arial" w:hAnsi="Arial" w:cs="Arial"/>
        </w:rPr>
        <w:t xml:space="preserve">z prethodno </w:t>
      </w:r>
      <w:proofErr w:type="gramStart"/>
      <w:r w:rsidR="00300F67" w:rsidRPr="000C0C46">
        <w:rPr>
          <w:rFonts w:ascii="Arial" w:hAnsi="Arial" w:cs="Arial"/>
        </w:rPr>
        <w:t>navedenog  može</w:t>
      </w:r>
      <w:proofErr w:type="gramEnd"/>
      <w:r w:rsidR="00300F67" w:rsidRPr="000C0C46">
        <w:rPr>
          <w:rFonts w:ascii="Arial" w:hAnsi="Arial" w:cs="Arial"/>
        </w:rPr>
        <w:t xml:space="preserve"> se zaključiti da </w:t>
      </w:r>
      <w:r w:rsidR="000C0C46">
        <w:rPr>
          <w:rFonts w:ascii="Arial" w:hAnsi="Arial" w:cs="Arial"/>
        </w:rPr>
        <w:t xml:space="preserve">su </w:t>
      </w:r>
      <w:r w:rsidR="006232E1">
        <w:rPr>
          <w:rFonts w:ascii="Arial" w:hAnsi="Arial" w:cs="Arial"/>
        </w:rPr>
        <w:t xml:space="preserve">se rashodi koji su </w:t>
      </w:r>
      <w:r w:rsidRPr="000C0C46">
        <w:rPr>
          <w:rFonts w:ascii="Arial" w:hAnsi="Arial" w:cs="Arial"/>
        </w:rPr>
        <w:t>izvršeni iz sredstava nadležnog proračuna najviše odnosili na materijalne rashode</w:t>
      </w:r>
      <w:r w:rsidR="00300F67" w:rsidRPr="000C0C46">
        <w:rPr>
          <w:rFonts w:ascii="Arial" w:hAnsi="Arial" w:cs="Arial"/>
        </w:rPr>
        <w:t xml:space="preserve"> </w:t>
      </w:r>
      <w:r w:rsidRPr="000C0C46">
        <w:rPr>
          <w:rFonts w:ascii="Arial" w:hAnsi="Arial" w:cs="Arial"/>
        </w:rPr>
        <w:t xml:space="preserve">za zaštitu građe </w:t>
      </w:r>
      <w:r w:rsidR="00300F67" w:rsidRPr="000C0C46">
        <w:rPr>
          <w:rFonts w:ascii="Arial" w:hAnsi="Arial" w:cs="Arial"/>
        </w:rPr>
        <w:t>i</w:t>
      </w:r>
      <w:r w:rsidRPr="000C0C46">
        <w:rPr>
          <w:rFonts w:ascii="Arial" w:hAnsi="Arial" w:cs="Arial"/>
        </w:rPr>
        <w:t xml:space="preserve"> </w:t>
      </w:r>
      <w:r w:rsidR="00300F67" w:rsidRPr="000C0C46">
        <w:rPr>
          <w:rFonts w:ascii="Arial" w:hAnsi="Arial" w:cs="Arial"/>
        </w:rPr>
        <w:t>postavljanja izložbi, dok se</w:t>
      </w:r>
      <w:r w:rsidRPr="000C0C46">
        <w:rPr>
          <w:rFonts w:ascii="Arial" w:hAnsi="Arial" w:cs="Arial"/>
        </w:rPr>
        <w:t xml:space="preserve"> intelektualne usluge</w:t>
      </w:r>
      <w:r w:rsidR="00300F67" w:rsidRPr="000C0C46">
        <w:rPr>
          <w:rFonts w:ascii="Arial" w:hAnsi="Arial" w:cs="Arial"/>
        </w:rPr>
        <w:t>,</w:t>
      </w:r>
      <w:r w:rsidRPr="000C0C46">
        <w:rPr>
          <w:rFonts w:ascii="Arial" w:hAnsi="Arial" w:cs="Arial"/>
        </w:rPr>
        <w:t xml:space="preserve"> koje su planirane u iznosu od 158.800,00 kn , a realizirane u iznosu 145.326,53 kn tj. 92%.</w:t>
      </w:r>
      <w:r w:rsidR="00300F67" w:rsidRPr="000C0C46">
        <w:rPr>
          <w:rFonts w:ascii="Arial" w:hAnsi="Arial" w:cs="Arial"/>
        </w:rPr>
        <w:t xml:space="preserve"> odnose na realizaciju izložbi i tiskovina te manjim dijelom na restauracije. Programska djelatnost financirana iz proračuna Grada Dubrovnika planirana je u iznosu od 371.400,00 kuna a realizirana u iznosu od 327.263,51 </w:t>
      </w:r>
      <w:proofErr w:type="gramStart"/>
      <w:r w:rsidR="00300F67" w:rsidRPr="000C0C46">
        <w:rPr>
          <w:rFonts w:ascii="Arial" w:hAnsi="Arial" w:cs="Arial"/>
        </w:rPr>
        <w:t>kunu ,odnosno</w:t>
      </w:r>
      <w:proofErr w:type="gramEnd"/>
      <w:r w:rsidR="00300F67" w:rsidRPr="000C0C46">
        <w:rPr>
          <w:rFonts w:ascii="Arial" w:hAnsi="Arial" w:cs="Arial"/>
        </w:rPr>
        <w:t xml:space="preserve"> 88%</w:t>
      </w:r>
    </w:p>
    <w:p w:rsidR="00D3263D" w:rsidRPr="000C0C46" w:rsidRDefault="00300F67" w:rsidP="000C0C46">
      <w:pPr>
        <w:jc w:val="both"/>
        <w:rPr>
          <w:rFonts w:ascii="Arial" w:hAnsi="Arial" w:cs="Arial"/>
        </w:rPr>
      </w:pPr>
      <w:r w:rsidRPr="000C0C46">
        <w:rPr>
          <w:rFonts w:ascii="Arial" w:hAnsi="Arial" w:cs="Arial"/>
        </w:rPr>
        <w:t>Rashodi koji planirani da će se realizirati iz vlastitih sredstava iznosili su prema planu 204.000,00 kn, a izvršeni su u iznosu 116.024,37 kn, tj. 57%.</w:t>
      </w:r>
    </w:p>
    <w:tbl>
      <w:tblPr>
        <w:tblpPr w:leftFromText="180" w:rightFromText="180" w:vertAnchor="text" w:tblpXSpec="center" w:tblpY="1"/>
        <w:tblOverlap w:val="never"/>
        <w:tblW w:w="9406" w:type="dxa"/>
        <w:jc w:val="center"/>
        <w:tblLook w:val="04A0" w:firstRow="1" w:lastRow="0" w:firstColumn="1" w:lastColumn="0" w:noHBand="0" w:noVBand="1"/>
      </w:tblPr>
      <w:tblGrid>
        <w:gridCol w:w="1084"/>
        <w:gridCol w:w="2425"/>
        <w:gridCol w:w="1544"/>
        <w:gridCol w:w="1544"/>
        <w:gridCol w:w="2046"/>
        <w:gridCol w:w="763"/>
      </w:tblGrid>
      <w:tr w:rsidR="00D3263D" w:rsidRPr="00D3263D" w:rsidTr="00D3263D">
        <w:trPr>
          <w:trHeight w:val="315"/>
          <w:jc w:val="center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63D" w:rsidRPr="00D3263D" w:rsidTr="00D3263D">
        <w:trPr>
          <w:trHeight w:val="315"/>
          <w:jc w:val="center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63D" w:rsidRPr="00D3263D" w:rsidRDefault="00D3263D" w:rsidP="00A75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300"/>
          <w:jc w:val="center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0C0C46" w:rsidRDefault="00D3263D" w:rsidP="00D3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C0C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PRIHODI I PRIMICI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0C0C46" w:rsidRDefault="00D3263D" w:rsidP="00D3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C46">
              <w:rPr>
                <w:rFonts w:ascii="Arial" w:eastAsia="Times New Roman" w:hAnsi="Arial" w:cs="Arial"/>
                <w:b/>
                <w:bCs/>
                <w:color w:val="000000"/>
              </w:rPr>
              <w:t>Izvor financiranja 1 opći prihodi i primici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76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0C0C46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iz nadležnog proračuna i od HZZO-a temeljem ugovornih obveza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D31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10.702.000,00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10.448.441,88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98    </w:t>
            </w:r>
          </w:p>
        </w:tc>
      </w:tr>
      <w:tr w:rsidR="000C0C46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D3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10.597.500,00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10.597.500,00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10.364.726,00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98    </w:t>
            </w:r>
          </w:p>
        </w:tc>
      </w:tr>
      <w:tr w:rsidR="000C0C46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6712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6D97">
              <w:rPr>
                <w:rFonts w:eastAsia="Times New Roman" w:cstheme="minorHAnsi"/>
                <w:color w:val="000000"/>
                <w:sz w:val="16"/>
                <w:szCs w:val="16"/>
              </w:rPr>
              <w:t>Prihodi iz nadležnog proračuna za financiranje rashoda za nabavu nefin.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D310D9" w:rsidP="00D3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104.500,00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83.715,88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80    </w:t>
            </w:r>
          </w:p>
        </w:tc>
      </w:tr>
      <w:tr w:rsidR="000C0C46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D3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C0C46" w:rsidRPr="00D3263D" w:rsidTr="00D3263D">
        <w:trPr>
          <w:trHeight w:val="42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Oći prihodi I primici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D31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10.702.000,00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10.702.000,00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10.448.441,88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0C0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98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46" w:rsidRPr="00D3263D" w:rsidRDefault="000C0C46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0C0C46" w:rsidRDefault="00D3263D" w:rsidP="00D3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C46">
              <w:rPr>
                <w:rFonts w:ascii="Arial" w:eastAsia="Times New Roman" w:hAnsi="Arial" w:cs="Arial"/>
                <w:b/>
                <w:bCs/>
                <w:color w:val="000000"/>
              </w:rPr>
              <w:t>Izvor financiranja 2 Vlastiti prihodi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76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0C0C46" w:rsidP="00714F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="00D3263D"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100,00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 29,05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29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6413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0C0C46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="00D3263D"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29,05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29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0C0C46" w:rsidP="00714F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344.000</w:t>
            </w:r>
            <w:r w:rsidR="00D3263D"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344.000,00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339.464,30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6614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Prihodi od prodaje proizvoda i robe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0C0C46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247.600</w:t>
            </w:r>
            <w:r w:rsidR="00D3263D"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247.600,00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249.894,40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101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6615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Prihodi od pruženih usluga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0C0C46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96.4</w:t>
            </w:r>
            <w:r w:rsidR="00D3263D"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96.400,00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89.569,90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-  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Kazne,upravne mjere i ostali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714FAC" w:rsidP="00714F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5.1</w:t>
            </w:r>
            <w:r w:rsidR="00D3263D"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5.100,00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5.063,50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714FAC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5.1</w:t>
            </w:r>
            <w:r w:rsidR="00D3263D"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5.100,00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5.063,50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714FAC" w:rsidP="00714F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800,00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749,82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94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7211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Stambeni objekti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714FAC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800,00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749,82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94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714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Vlastiti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714FAC" w:rsidP="00714F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350.000,00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345.306,67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Izvor financiranja 5 Prihodi za posebne namjene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76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10.000,00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10.000,00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10.000,00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100    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Tekućre pomoći proračunskim korisnicima iz proračuna koji im nije nadležan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10.000,00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10.000,00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10.000,00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100    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106.000,00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106.000,00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48.107,00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45    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6631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56.000,00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56.000,00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26.000,00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46    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6632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50.000,00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50.000,00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22.107,00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44    </w:t>
            </w:r>
          </w:p>
        </w:tc>
      </w:tr>
      <w:tr w:rsidR="00714FAC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AC" w:rsidRPr="00D3263D" w:rsidRDefault="00714FAC" w:rsidP="00714F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Namjenski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714F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="00714F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116.000,00</w:t>
            </w: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116.000,00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58.107,00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50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714FAC" w:rsidRDefault="00D3263D" w:rsidP="00D3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4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 financiranja  Vlastiti prihodi- preneseni višak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76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Višak / manjak prihoda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234.000,00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233.997,90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100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92211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Višak prihoda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234.000,00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233.997,90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100    </w:t>
            </w:r>
          </w:p>
        </w:tc>
      </w:tr>
      <w:tr w:rsidR="00D3263D" w:rsidRPr="00D3263D" w:rsidTr="00D3263D">
        <w:trPr>
          <w:trHeight w:val="39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Vlastiti prihodi- višak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234.000,00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233.997,90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100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714FAC" w:rsidRDefault="00D3263D" w:rsidP="00D3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4FAC">
              <w:rPr>
                <w:rFonts w:ascii="Arial" w:eastAsia="Times New Roman" w:hAnsi="Arial" w:cs="Arial"/>
                <w:b/>
                <w:bCs/>
                <w:color w:val="000000"/>
              </w:rPr>
              <w:t>Izvor financiranja  Prihodi za posebne namjene- preneseni višak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76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Račun prihoda /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primitaka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Naziv računa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Izvorni plan 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2021.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Tekući plan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Ostvarenje/Izvršenje</w:t>
            </w: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 2021.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Indeks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5= 4/3*100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Višak / manjak prihoda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2.000,00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1.976,90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92211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>Višak prihoda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2.000,00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1.976,90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 izvor financiranja Vlastiti prihodi- preneseni višak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2.000,00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1.976,90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99    </w:t>
            </w: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3263D" w:rsidRPr="00D3263D" w:rsidTr="00D3263D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3D" w:rsidRPr="00D3263D" w:rsidRDefault="00D3263D" w:rsidP="00D326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9213B" w:rsidRPr="00D3263D" w:rsidTr="00D3263D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11.168.000,00   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11.168.000,00  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10.851.855,55  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49213B" w:rsidRPr="00D3263D" w:rsidTr="00D3263D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Sveukupno prihodi + preneseni višak korišten za pokriće rashoda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11.404.000,00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11.404.000,00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11.087.830,35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3B" w:rsidRPr="00D3263D" w:rsidRDefault="0049213B" w:rsidP="00492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2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</w:tbl>
    <w:p w:rsidR="00D3263D" w:rsidRDefault="00D3263D">
      <w:pPr>
        <w:rPr>
          <w:rFonts w:cstheme="minorHAnsi"/>
          <w:sz w:val="20"/>
          <w:szCs w:val="20"/>
        </w:rPr>
      </w:pPr>
    </w:p>
    <w:p w:rsidR="00D3263D" w:rsidRPr="00A71528" w:rsidRDefault="00D3263D">
      <w:pPr>
        <w:rPr>
          <w:rFonts w:cstheme="minorHAnsi"/>
          <w:sz w:val="20"/>
          <w:szCs w:val="20"/>
        </w:rPr>
      </w:pPr>
    </w:p>
    <w:p w:rsidR="00A71528" w:rsidRDefault="00A71528" w:rsidP="00A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25F0">
        <w:rPr>
          <w:rFonts w:cstheme="minorHAnsi"/>
          <w:b/>
          <w:bCs/>
          <w:sz w:val="24"/>
          <w:szCs w:val="24"/>
        </w:rPr>
        <w:t>IZVORI FINANCIRANJA (iznos u %)</w:t>
      </w:r>
    </w:p>
    <w:p w:rsidR="000825F0" w:rsidRPr="000825F0" w:rsidRDefault="000825F0" w:rsidP="00A71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71528" w:rsidRPr="00E25AB1" w:rsidRDefault="0049213B" w:rsidP="00E25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RH – MINISTARSTVO KULTURE </w:t>
      </w:r>
      <w:r w:rsidR="00A71528" w:rsidRPr="00E25AB1">
        <w:rPr>
          <w:rFonts w:cstheme="minorHAnsi"/>
          <w:sz w:val="20"/>
          <w:szCs w:val="20"/>
        </w:rPr>
        <w:t>...................................................10.000,00 kn (0.9 %)</w:t>
      </w:r>
    </w:p>
    <w:p w:rsidR="00A71528" w:rsidRPr="00E25AB1" w:rsidRDefault="00A71528" w:rsidP="00E25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5AB1">
        <w:rPr>
          <w:rFonts w:cstheme="minorHAnsi"/>
          <w:sz w:val="20"/>
          <w:szCs w:val="20"/>
        </w:rPr>
        <w:t>LOKALNA SAMOUPRAVA .............</w:t>
      </w:r>
      <w:r w:rsidR="00D3263D" w:rsidRPr="00E25AB1">
        <w:rPr>
          <w:rFonts w:cstheme="minorHAnsi"/>
          <w:sz w:val="20"/>
          <w:szCs w:val="20"/>
        </w:rPr>
        <w:t>.....................................</w:t>
      </w:r>
      <w:r w:rsidRPr="00E25AB1">
        <w:rPr>
          <w:rFonts w:cstheme="minorHAnsi"/>
          <w:sz w:val="20"/>
          <w:szCs w:val="20"/>
        </w:rPr>
        <w:t>10.448.441,88 kn (95,81%)</w:t>
      </w:r>
    </w:p>
    <w:p w:rsidR="00A71528" w:rsidRPr="00E25AB1" w:rsidRDefault="00A71528" w:rsidP="00E25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5AB1">
        <w:rPr>
          <w:rFonts w:cstheme="minorHAnsi"/>
          <w:sz w:val="20"/>
          <w:szCs w:val="20"/>
        </w:rPr>
        <w:t>VLASTITI PRIHOD (Sagrada i višak iz 2020</w:t>
      </w:r>
      <w:proofErr w:type="gramStart"/>
      <w:r w:rsidRPr="00E25AB1">
        <w:rPr>
          <w:rFonts w:cstheme="minorHAnsi"/>
          <w:sz w:val="20"/>
          <w:szCs w:val="20"/>
        </w:rPr>
        <w:t>.)..........................</w:t>
      </w:r>
      <w:r w:rsidR="00B02510" w:rsidRPr="00E25AB1">
        <w:rPr>
          <w:rFonts w:cstheme="minorHAnsi"/>
          <w:sz w:val="20"/>
          <w:szCs w:val="20"/>
        </w:rPr>
        <w:t>...</w:t>
      </w:r>
      <w:proofErr w:type="gramEnd"/>
      <w:r w:rsidR="00B02510" w:rsidRPr="00E25AB1">
        <w:rPr>
          <w:rFonts w:cstheme="minorHAnsi"/>
          <w:sz w:val="20"/>
          <w:szCs w:val="20"/>
        </w:rPr>
        <w:t>:</w:t>
      </w:r>
      <w:r w:rsidRPr="00E25AB1">
        <w:rPr>
          <w:rFonts w:cstheme="minorHAnsi"/>
          <w:sz w:val="20"/>
          <w:szCs w:val="20"/>
        </w:rPr>
        <w:t>425.500,19 kn (3,90%)</w:t>
      </w:r>
    </w:p>
    <w:p w:rsidR="00A71528" w:rsidRPr="00E25AB1" w:rsidRDefault="00A71528" w:rsidP="00E25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5AB1">
        <w:rPr>
          <w:rFonts w:cstheme="minorHAnsi"/>
          <w:sz w:val="20"/>
          <w:szCs w:val="20"/>
        </w:rPr>
        <w:t>SPONZORSTVO ............................................................................................0 kn (0 %)</w:t>
      </w:r>
    </w:p>
    <w:p w:rsidR="00E25AB1" w:rsidRDefault="00A71528" w:rsidP="00E25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5AB1">
        <w:rPr>
          <w:rFonts w:cstheme="minorHAnsi"/>
          <w:sz w:val="20"/>
          <w:szCs w:val="20"/>
        </w:rPr>
        <w:t>DONACIJE .......................................................</w:t>
      </w:r>
      <w:r w:rsidR="00D3263D" w:rsidRPr="00E25AB1">
        <w:rPr>
          <w:rFonts w:cstheme="minorHAnsi"/>
          <w:sz w:val="20"/>
          <w:szCs w:val="20"/>
        </w:rPr>
        <w:t>..........................</w:t>
      </w:r>
      <w:r w:rsidRPr="00E25AB1">
        <w:rPr>
          <w:rFonts w:cstheme="minorHAnsi"/>
          <w:sz w:val="20"/>
          <w:szCs w:val="20"/>
        </w:rPr>
        <w:t xml:space="preserve"> 22.107,00 kn (0,20%)</w:t>
      </w:r>
    </w:p>
    <w:p w:rsidR="00A71528" w:rsidRPr="00E25AB1" w:rsidRDefault="00E25AB1" w:rsidP="00E25A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A71528" w:rsidRPr="00E25AB1">
        <w:rPr>
          <w:rFonts w:cstheme="minorHAnsi"/>
          <w:sz w:val="20"/>
          <w:szCs w:val="20"/>
        </w:rPr>
        <w:t>10.906.049,07 (100,00%)</w:t>
      </w:r>
    </w:p>
    <w:p w:rsidR="00714FAC" w:rsidRDefault="00714FAC">
      <w:pPr>
        <w:rPr>
          <w:rFonts w:cstheme="minorHAnsi"/>
        </w:rPr>
      </w:pPr>
    </w:p>
    <w:p w:rsidR="00D3263D" w:rsidRPr="00E25AB1" w:rsidRDefault="00A71528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5AB1">
        <w:rPr>
          <w:rFonts w:cstheme="minorHAnsi"/>
        </w:rPr>
        <w:t>Ukupni prihodi i primitci Dubrovačkih muzeja u 2021. godin</w:t>
      </w:r>
      <w:r w:rsidR="002742E5" w:rsidRPr="00E25AB1">
        <w:rPr>
          <w:rFonts w:cstheme="minorHAnsi"/>
        </w:rPr>
        <w:t>i iznosili su 10.851.855,00 kn</w:t>
      </w:r>
      <w:r w:rsidRPr="00E25AB1">
        <w:rPr>
          <w:rFonts w:cstheme="minorHAnsi"/>
        </w:rPr>
        <w:t>,</w:t>
      </w:r>
      <w:r w:rsidR="002742E5" w:rsidRPr="00E25AB1">
        <w:rPr>
          <w:rFonts w:cstheme="minorHAnsi"/>
        </w:rPr>
        <w:t xml:space="preserve"> </w:t>
      </w:r>
      <w:r w:rsidR="00D3263D" w:rsidRPr="00E25AB1">
        <w:rPr>
          <w:rFonts w:cstheme="minorHAnsi"/>
        </w:rPr>
        <w:t>što je 0,6 %</w:t>
      </w:r>
      <w:r w:rsidRPr="00E25AB1">
        <w:rPr>
          <w:rFonts w:cstheme="minorHAnsi"/>
        </w:rPr>
        <w:t xml:space="preserve"> više u odnosu na 2020. godinu (10.790.492</w:t>
      </w:r>
      <w:r w:rsidR="00D3263D" w:rsidRPr="00E25AB1">
        <w:rPr>
          <w:rFonts w:cstheme="minorHAnsi"/>
        </w:rPr>
        <w:t>,01</w:t>
      </w:r>
      <w:r w:rsidR="002742E5" w:rsidRPr="00E25AB1">
        <w:rPr>
          <w:rFonts w:cstheme="minorHAnsi"/>
        </w:rPr>
        <w:t xml:space="preserve"> kn</w:t>
      </w:r>
      <w:r w:rsidR="00D3263D" w:rsidRPr="00E25AB1">
        <w:rPr>
          <w:rFonts w:cstheme="minorHAnsi"/>
        </w:rPr>
        <w:t xml:space="preserve">). U odnosu na </w:t>
      </w:r>
      <w:r w:rsidR="002742E5" w:rsidRPr="00E25AB1">
        <w:rPr>
          <w:rFonts w:cstheme="minorHAnsi"/>
        </w:rPr>
        <w:t>plan iznose 97%.</w:t>
      </w:r>
    </w:p>
    <w:p w:rsidR="002742E5" w:rsidRPr="00E25AB1" w:rsidRDefault="002742E5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742E5" w:rsidRPr="00E25AB1" w:rsidRDefault="00A75833" w:rsidP="00B025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Prihodi financirani iz </w:t>
      </w:r>
      <w:r w:rsidR="00D3263D" w:rsidRPr="00E25AB1">
        <w:rPr>
          <w:rFonts w:cstheme="minorHAnsi"/>
        </w:rPr>
        <w:t xml:space="preserve">proračuna Grada </w:t>
      </w:r>
      <w:r w:rsidR="00A71528" w:rsidRPr="00E25AB1">
        <w:rPr>
          <w:rFonts w:cstheme="minorHAnsi"/>
        </w:rPr>
        <w:t>Dub</w:t>
      </w:r>
      <w:r w:rsidR="00C04CA2">
        <w:rPr>
          <w:rFonts w:cstheme="minorHAnsi"/>
        </w:rPr>
        <w:t xml:space="preserve">rovnika povećani su za 0,1 </w:t>
      </w:r>
      <w:r>
        <w:rPr>
          <w:rFonts w:cstheme="minorHAnsi"/>
        </w:rPr>
        <w:t>%</w:t>
      </w:r>
      <w:r w:rsidR="00A71528" w:rsidRPr="00E25AB1">
        <w:rPr>
          <w:rFonts w:cstheme="minorHAnsi"/>
        </w:rPr>
        <w:t xml:space="preserve"> u odnosu</w:t>
      </w:r>
      <w:r w:rsidR="00B02510" w:rsidRPr="00E25AB1">
        <w:rPr>
          <w:rFonts w:cstheme="minorHAnsi"/>
        </w:rPr>
        <w:t xml:space="preserve"> na godinu ranije i</w:t>
      </w:r>
      <w:r w:rsidR="002742E5" w:rsidRPr="00E25AB1">
        <w:rPr>
          <w:rFonts w:cstheme="minorHAnsi"/>
        </w:rPr>
        <w:t xml:space="preserve"> iznose 10.448.441</w:t>
      </w:r>
      <w:r w:rsidR="00B02510" w:rsidRPr="00E25AB1">
        <w:rPr>
          <w:rFonts w:cstheme="minorHAnsi"/>
        </w:rPr>
        <w:t xml:space="preserve"> </w:t>
      </w:r>
      <w:r w:rsidR="002742E5" w:rsidRPr="00E25AB1">
        <w:rPr>
          <w:rFonts w:cstheme="minorHAnsi"/>
        </w:rPr>
        <w:t>,</w:t>
      </w:r>
      <w:r>
        <w:rPr>
          <w:rFonts w:cstheme="minorHAnsi"/>
        </w:rPr>
        <w:t xml:space="preserve">88 </w:t>
      </w:r>
      <w:r w:rsidR="002742E5" w:rsidRPr="00E25AB1">
        <w:rPr>
          <w:rFonts w:cstheme="minorHAnsi"/>
        </w:rPr>
        <w:t>kn</w:t>
      </w:r>
      <w:r w:rsidR="00B02510" w:rsidRPr="00E25AB1">
        <w:rPr>
          <w:rFonts w:cstheme="minorHAnsi"/>
        </w:rPr>
        <w:t xml:space="preserve"> što je 98% planiranog i najvećim su dijelom utrošeni za podmirenje troškova zaposlenih 8</w:t>
      </w:r>
      <w:r w:rsidR="00F76F8B" w:rsidRPr="00E25AB1">
        <w:rPr>
          <w:rFonts w:cstheme="minorHAnsi"/>
        </w:rPr>
        <w:t>.508.914,54,00 kuna, odnosno 78,41%.</w:t>
      </w:r>
    </w:p>
    <w:p w:rsidR="00B02510" w:rsidRPr="00E25AB1" w:rsidRDefault="00B02510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1528" w:rsidRPr="00E25AB1" w:rsidRDefault="002742E5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5AB1">
        <w:rPr>
          <w:rFonts w:cstheme="minorHAnsi"/>
        </w:rPr>
        <w:t xml:space="preserve">Namjenski prihodi od </w:t>
      </w:r>
      <w:r w:rsidR="00A71528" w:rsidRPr="00E25AB1">
        <w:rPr>
          <w:rFonts w:cstheme="minorHAnsi"/>
        </w:rPr>
        <w:t>Ministarstva ku</w:t>
      </w:r>
      <w:r w:rsidR="00B02510" w:rsidRPr="00E25AB1">
        <w:rPr>
          <w:rFonts w:cstheme="minorHAnsi"/>
        </w:rPr>
        <w:t xml:space="preserve">lture smanjeni su za 86,30 </w:t>
      </w:r>
      <w:proofErr w:type="gramStart"/>
      <w:r w:rsidR="00B02510" w:rsidRPr="00E25AB1">
        <w:rPr>
          <w:rFonts w:cstheme="minorHAnsi"/>
        </w:rPr>
        <w:t>%</w:t>
      </w:r>
      <w:r w:rsidRPr="00E25AB1">
        <w:rPr>
          <w:rFonts w:cstheme="minorHAnsi"/>
        </w:rPr>
        <w:t xml:space="preserve"> ,</w:t>
      </w:r>
      <w:proofErr w:type="gramEnd"/>
      <w:r w:rsidRPr="00E25AB1">
        <w:rPr>
          <w:rFonts w:cstheme="minorHAnsi"/>
        </w:rPr>
        <w:t xml:space="preserve"> dok su</w:t>
      </w:r>
      <w:r w:rsidR="00A71528" w:rsidRPr="00E25AB1">
        <w:rPr>
          <w:rFonts w:cstheme="minorHAnsi"/>
        </w:rPr>
        <w:t xml:space="preserve"> vlastiti prihodi povećani za 52,46 </w:t>
      </w:r>
      <w:r w:rsidRPr="00E25AB1">
        <w:rPr>
          <w:rFonts w:cstheme="minorHAnsi"/>
        </w:rPr>
        <w:t xml:space="preserve">% u </w:t>
      </w:r>
      <w:r w:rsidR="00A71528" w:rsidRPr="00E25AB1">
        <w:rPr>
          <w:rFonts w:cstheme="minorHAnsi"/>
        </w:rPr>
        <w:t>odnosu na 2020. Razlog značajnog povećanja vlastitih prihoda</w:t>
      </w:r>
      <w:r w:rsidRPr="00E25AB1">
        <w:rPr>
          <w:rFonts w:cstheme="minorHAnsi"/>
        </w:rPr>
        <w:t xml:space="preserve"> je poboljšanje epidemiološke </w:t>
      </w:r>
      <w:r w:rsidR="00B02510" w:rsidRPr="00E25AB1">
        <w:rPr>
          <w:rFonts w:cstheme="minorHAnsi"/>
        </w:rPr>
        <w:t>i</w:t>
      </w:r>
      <w:r w:rsidRPr="00E25AB1">
        <w:rPr>
          <w:rFonts w:cstheme="minorHAnsi"/>
        </w:rPr>
        <w:t xml:space="preserve"> </w:t>
      </w:r>
      <w:r w:rsidR="00A71528" w:rsidRPr="00E25AB1">
        <w:rPr>
          <w:rFonts w:cstheme="minorHAnsi"/>
        </w:rPr>
        <w:t>ekonomske situacije uslijed koje su Dubrovački muzeji zabilježil</w:t>
      </w:r>
      <w:r w:rsidRPr="00E25AB1">
        <w:rPr>
          <w:rFonts w:cstheme="minorHAnsi"/>
        </w:rPr>
        <w:t xml:space="preserve">i porast broja posjetitelja kao </w:t>
      </w:r>
      <w:r w:rsidR="00A71528" w:rsidRPr="00E25AB1">
        <w:rPr>
          <w:rFonts w:cstheme="minorHAnsi"/>
        </w:rPr>
        <w:t>i najma prostora, te porast suvenirske prodaje.</w:t>
      </w:r>
    </w:p>
    <w:p w:rsidR="002742E5" w:rsidRPr="00E25AB1" w:rsidRDefault="002742E5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1528" w:rsidRPr="00E25AB1" w:rsidRDefault="00A71528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5AB1">
        <w:rPr>
          <w:rFonts w:cstheme="minorHAnsi"/>
        </w:rPr>
        <w:t>U ukupne prihode i primitke nije uračunat preneseni višak vlas</w:t>
      </w:r>
      <w:r w:rsidR="002742E5" w:rsidRPr="00E25AB1">
        <w:rPr>
          <w:rFonts w:cstheme="minorHAnsi"/>
        </w:rPr>
        <w:t>titih prihoda iz 2020. godine u iznosu od 235.974,80 kn</w:t>
      </w:r>
      <w:r w:rsidRPr="00E25AB1">
        <w:rPr>
          <w:rFonts w:cstheme="minorHAnsi"/>
        </w:rPr>
        <w:t>, koji je u 2021. godini utrošen</w:t>
      </w:r>
      <w:r w:rsidR="002742E5" w:rsidRPr="00E25AB1">
        <w:rPr>
          <w:rFonts w:cstheme="minorHAnsi"/>
        </w:rPr>
        <w:t xml:space="preserve"> za rashode redovnog poslovanja Dubrovačkih muzeja.</w:t>
      </w:r>
      <w:r w:rsidR="00B02510" w:rsidRPr="00E25AB1">
        <w:rPr>
          <w:rFonts w:cstheme="minorHAnsi"/>
        </w:rPr>
        <w:t xml:space="preserve"> </w:t>
      </w:r>
      <w:r w:rsidRPr="00E25AB1">
        <w:rPr>
          <w:rFonts w:cstheme="minorHAnsi"/>
        </w:rPr>
        <w:t>U sumi prihoda i primitaka Dubrovačkih muzeja vlastiti prih</w:t>
      </w:r>
      <w:r w:rsidR="002742E5" w:rsidRPr="00E25AB1">
        <w:rPr>
          <w:rFonts w:cstheme="minorHAnsi"/>
        </w:rPr>
        <w:t xml:space="preserve">odi ostvareni od prodaje robe i </w:t>
      </w:r>
      <w:r w:rsidRPr="00E25AB1">
        <w:rPr>
          <w:rFonts w:cstheme="minorHAnsi"/>
        </w:rPr>
        <w:t>pru</w:t>
      </w:r>
      <w:r w:rsidR="002742E5" w:rsidRPr="00E25AB1">
        <w:rPr>
          <w:rFonts w:cstheme="minorHAnsi"/>
        </w:rPr>
        <w:t>ženih usluga čine tek 3,13 % ili 339.464,30 kn</w:t>
      </w:r>
      <w:r w:rsidRPr="00E25AB1">
        <w:rPr>
          <w:rFonts w:cstheme="minorHAnsi"/>
        </w:rPr>
        <w:t>, dok s</w:t>
      </w:r>
      <w:r w:rsidR="00B02510" w:rsidRPr="00E25AB1">
        <w:rPr>
          <w:rFonts w:cstheme="minorHAnsi"/>
        </w:rPr>
        <w:t>u godinu ranije činili oko 1,71 %</w:t>
      </w:r>
      <w:r w:rsidRPr="00E25AB1">
        <w:rPr>
          <w:rFonts w:cstheme="minorHAnsi"/>
        </w:rPr>
        <w:t>, odn</w:t>
      </w:r>
      <w:r w:rsidR="00B02510" w:rsidRPr="00E25AB1">
        <w:rPr>
          <w:rFonts w:cstheme="minorHAnsi"/>
        </w:rPr>
        <w:t>osno 184.443,18</w:t>
      </w:r>
      <w:r w:rsidRPr="00E25AB1">
        <w:rPr>
          <w:rFonts w:cstheme="minorHAnsi"/>
        </w:rPr>
        <w:t xml:space="preserve"> kuna.</w:t>
      </w:r>
    </w:p>
    <w:p w:rsidR="00B02510" w:rsidRPr="00E25AB1" w:rsidRDefault="00B02510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1528" w:rsidRPr="00E25AB1" w:rsidRDefault="00A71528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5AB1">
        <w:rPr>
          <w:rFonts w:cstheme="minorHAnsi"/>
        </w:rPr>
        <w:t>Programska djelatnost financirana sredstvima Grada Dubr</w:t>
      </w:r>
      <w:r w:rsidR="00EB01F8" w:rsidRPr="00E25AB1">
        <w:rPr>
          <w:rFonts w:cstheme="minorHAnsi"/>
        </w:rPr>
        <w:t xml:space="preserve">ovnika u odnosu na 2020. godinu </w:t>
      </w:r>
      <w:r w:rsidRPr="00E25AB1">
        <w:rPr>
          <w:rFonts w:cstheme="minorHAnsi"/>
        </w:rPr>
        <w:t>s</w:t>
      </w:r>
      <w:r w:rsidR="00EB01F8" w:rsidRPr="00E25AB1">
        <w:rPr>
          <w:rFonts w:cstheme="minorHAnsi"/>
        </w:rPr>
        <w:t xml:space="preserve">manjena je za oko 9,23 % </w:t>
      </w:r>
      <w:r w:rsidRPr="00E25AB1">
        <w:rPr>
          <w:rFonts w:cstheme="minorHAnsi"/>
        </w:rPr>
        <w:t>(u 2020. godini iznosila je 36</w:t>
      </w:r>
      <w:r w:rsidR="00EB01F8" w:rsidRPr="00E25AB1">
        <w:rPr>
          <w:rFonts w:cstheme="minorHAnsi"/>
        </w:rPr>
        <w:t xml:space="preserve">0.542,85 kuna, a u 2021. godini </w:t>
      </w:r>
      <w:r w:rsidRPr="00E25AB1">
        <w:rPr>
          <w:rFonts w:cstheme="minorHAnsi"/>
        </w:rPr>
        <w:t>327.263,51 kuna).</w:t>
      </w:r>
    </w:p>
    <w:p w:rsidR="00EB01F8" w:rsidRPr="00E25AB1" w:rsidRDefault="00EB01F8" w:rsidP="00D3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142F" w:rsidRPr="00E25AB1" w:rsidRDefault="00A71528" w:rsidP="009A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5AB1">
        <w:rPr>
          <w:rFonts w:cstheme="minorHAnsi"/>
        </w:rPr>
        <w:t>Ukupan višak prihoda na kraju 2021. godine, koji je raspoloži</w:t>
      </w:r>
      <w:r w:rsidR="00EB01F8" w:rsidRPr="00E25AB1">
        <w:rPr>
          <w:rFonts w:cstheme="minorHAnsi"/>
        </w:rPr>
        <w:t>v u sljedećem razdoblju, iznosi 181.781,28 kn</w:t>
      </w:r>
      <w:r w:rsidRPr="00E25AB1">
        <w:rPr>
          <w:rFonts w:cstheme="minorHAnsi"/>
        </w:rPr>
        <w:t>. Riječ je o višku vlastitih sredstava ostvar</w:t>
      </w:r>
      <w:r w:rsidR="00EB01F8" w:rsidRPr="00E25AB1">
        <w:rPr>
          <w:rFonts w:cstheme="minorHAnsi"/>
        </w:rPr>
        <w:t>enom u 2021. godini u iznosu od 177.210,35 kn</w:t>
      </w:r>
      <w:r w:rsidRPr="00E25AB1">
        <w:rPr>
          <w:rFonts w:cstheme="minorHAnsi"/>
        </w:rPr>
        <w:t>, te neiskorištenom namjensko</w:t>
      </w:r>
      <w:r w:rsidR="009A3D29" w:rsidRPr="00E25AB1">
        <w:rPr>
          <w:rFonts w:cstheme="minorHAnsi"/>
        </w:rPr>
        <w:t>m prihodu u iznosu 4.570,93 kn.</w:t>
      </w:r>
    </w:p>
    <w:p w:rsidR="003B142F" w:rsidRDefault="003B142F">
      <w:pPr>
        <w:rPr>
          <w:rFonts w:cstheme="minorHAnsi"/>
        </w:rPr>
      </w:pPr>
    </w:p>
    <w:p w:rsidR="003B142F" w:rsidRDefault="003B142F">
      <w:pPr>
        <w:rPr>
          <w:rFonts w:cstheme="minorHAnsi"/>
        </w:rPr>
      </w:pPr>
    </w:p>
    <w:p w:rsidR="003B142F" w:rsidRDefault="003B142F">
      <w:pPr>
        <w:rPr>
          <w:rFonts w:cstheme="minorHAnsi"/>
        </w:rPr>
      </w:pPr>
    </w:p>
    <w:p w:rsidR="00A75833" w:rsidRDefault="00A75833">
      <w:pPr>
        <w:rPr>
          <w:rFonts w:cstheme="minorHAnsi"/>
        </w:rPr>
      </w:pPr>
    </w:p>
    <w:p w:rsidR="003B142F" w:rsidRDefault="003B142F">
      <w:pPr>
        <w:rPr>
          <w:rFonts w:cstheme="minorHAnsi"/>
        </w:rPr>
      </w:pPr>
    </w:p>
    <w:p w:rsidR="00E81B67" w:rsidRPr="006C7B2E" w:rsidRDefault="00E57A49" w:rsidP="00E81B67">
      <w:pPr>
        <w:rPr>
          <w:rFonts w:ascii="Arial" w:hAnsi="Arial" w:cs="Arial"/>
        </w:rPr>
      </w:pPr>
      <w:bookmarkStart w:id="0" w:name="_Hlk62728939"/>
      <w:r>
        <w:rPr>
          <w:rFonts w:ascii="Arial" w:hAnsi="Arial" w:cs="Arial"/>
        </w:rPr>
        <w:lastRenderedPageBreak/>
        <w:t>Dubrovački muzeji imaju dva sudska postupka u tijeku:</w:t>
      </w:r>
    </w:p>
    <w:p w:rsidR="00E81B67" w:rsidRPr="00E57A49" w:rsidRDefault="00E81B67" w:rsidP="00E57A49">
      <w:pPr>
        <w:pStyle w:val="ListParagraph"/>
        <w:numPr>
          <w:ilvl w:val="0"/>
          <w:numId w:val="7"/>
        </w:numPr>
        <w:rPr>
          <w:rFonts w:ascii="Arial" w:hAnsi="Arial" w:cs="Arial"/>
          <w:lang w:eastAsia="hr-HR"/>
        </w:rPr>
      </w:pPr>
      <w:r w:rsidRPr="00E57A49">
        <w:rPr>
          <w:rFonts w:ascii="Arial" w:hAnsi="Arial" w:cs="Arial"/>
        </w:rPr>
        <w:t>Predmet broj Pr-17/20 koji se vodi kod Općinskog suda u Dubrovniku povodom tužbe tužitelja Vide Krmeka protiv Dubrovačkih muzeja, a radi naknade štete.</w:t>
      </w:r>
    </w:p>
    <w:p w:rsidR="00E81B67" w:rsidRPr="006C7B2E" w:rsidRDefault="00E81B67" w:rsidP="00E57A49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6C7B2E">
        <w:rPr>
          <w:rFonts w:ascii="Arial" w:hAnsi="Arial" w:cs="Arial"/>
          <w:sz w:val="22"/>
          <w:szCs w:val="22"/>
        </w:rPr>
        <w:t xml:space="preserve">Dubrovački muzeji su dana 30. prosinca 2020. na račun tužitelja uplatili 147.000,00 kuna na ime osnovanog dijela zahtjeva za naplatu naknade neimovinske i imovinske štete i to: </w:t>
      </w:r>
    </w:p>
    <w:p w:rsidR="00E81B67" w:rsidRPr="006C7B2E" w:rsidRDefault="00E81B67" w:rsidP="00E57A49">
      <w:pPr>
        <w:pStyle w:val="Default"/>
        <w:numPr>
          <w:ilvl w:val="1"/>
          <w:numId w:val="7"/>
        </w:numPr>
        <w:spacing w:after="42"/>
        <w:rPr>
          <w:rFonts w:ascii="Arial" w:hAnsi="Arial" w:cs="Arial"/>
          <w:sz w:val="22"/>
          <w:szCs w:val="22"/>
        </w:rPr>
      </w:pPr>
      <w:r w:rsidRPr="006C7B2E">
        <w:rPr>
          <w:rFonts w:ascii="Arial" w:hAnsi="Arial" w:cs="Arial"/>
          <w:sz w:val="22"/>
          <w:szCs w:val="22"/>
        </w:rPr>
        <w:t xml:space="preserve">po osnovi pretrpljene boli 37.500,00 kuna </w:t>
      </w:r>
    </w:p>
    <w:p w:rsidR="00E81B67" w:rsidRPr="006C7B2E" w:rsidRDefault="00E81B67" w:rsidP="00E57A49">
      <w:pPr>
        <w:pStyle w:val="Default"/>
        <w:numPr>
          <w:ilvl w:val="1"/>
          <w:numId w:val="7"/>
        </w:numPr>
        <w:spacing w:after="42"/>
        <w:rPr>
          <w:rFonts w:ascii="Arial" w:hAnsi="Arial" w:cs="Arial"/>
          <w:sz w:val="22"/>
          <w:szCs w:val="22"/>
        </w:rPr>
      </w:pPr>
      <w:r w:rsidRPr="006C7B2E">
        <w:rPr>
          <w:rFonts w:ascii="Arial" w:hAnsi="Arial" w:cs="Arial"/>
          <w:sz w:val="22"/>
          <w:szCs w:val="22"/>
        </w:rPr>
        <w:t xml:space="preserve">po osnovi pretrpljenog straha 45.000,00 kuna </w:t>
      </w:r>
    </w:p>
    <w:p w:rsidR="00E81B67" w:rsidRPr="006C7B2E" w:rsidRDefault="00E81B67" w:rsidP="00E57A49">
      <w:pPr>
        <w:pStyle w:val="Default"/>
        <w:numPr>
          <w:ilvl w:val="1"/>
          <w:numId w:val="7"/>
        </w:numPr>
        <w:spacing w:after="42"/>
        <w:rPr>
          <w:rFonts w:ascii="Arial" w:hAnsi="Arial" w:cs="Arial"/>
          <w:sz w:val="22"/>
          <w:szCs w:val="22"/>
        </w:rPr>
      </w:pPr>
      <w:r w:rsidRPr="006C7B2E">
        <w:rPr>
          <w:rFonts w:ascii="Arial" w:hAnsi="Arial" w:cs="Arial"/>
          <w:sz w:val="22"/>
          <w:szCs w:val="22"/>
        </w:rPr>
        <w:t xml:space="preserve">po osnovi duševne boli zbog smanjenja životne aktivnosti 52.500,00 kuna </w:t>
      </w:r>
    </w:p>
    <w:p w:rsidR="00E81B67" w:rsidRPr="006C7B2E" w:rsidRDefault="00E81B67" w:rsidP="00E57A49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6C7B2E">
        <w:rPr>
          <w:rFonts w:ascii="Arial" w:hAnsi="Arial" w:cs="Arial"/>
          <w:sz w:val="22"/>
          <w:szCs w:val="22"/>
        </w:rPr>
        <w:t xml:space="preserve">po osnovi tuđe pomoći i njege 12.000,00 kuna. </w:t>
      </w:r>
    </w:p>
    <w:p w:rsidR="00E81B67" w:rsidRPr="006C7B2E" w:rsidRDefault="00E81B67" w:rsidP="00E81B6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E81B67" w:rsidRPr="006C7B2E" w:rsidRDefault="00E81B67" w:rsidP="00E57A4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6C7B2E">
        <w:rPr>
          <w:rFonts w:ascii="Arial" w:hAnsi="Arial" w:cs="Arial"/>
          <w:color w:val="auto"/>
          <w:sz w:val="22"/>
          <w:szCs w:val="22"/>
        </w:rPr>
        <w:t>U odnosu na preostali sporni dio tužbenog zahtjeva (73.333,24 kune), postupak se nastavlja. Ročište glavne rasprave zakazano je za 14. ožujak 2022.g., nakon čega se očekuje konačan ishod predmetnog spora.</w:t>
      </w:r>
    </w:p>
    <w:p w:rsidR="00E81B67" w:rsidRPr="006C7B2E" w:rsidRDefault="00E81B67" w:rsidP="00E81B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81B67" w:rsidRPr="006C7B2E" w:rsidRDefault="00E81B67" w:rsidP="00E57A4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6C7B2E">
        <w:rPr>
          <w:rFonts w:ascii="Arial" w:hAnsi="Arial" w:cs="Arial"/>
          <w:color w:val="auto"/>
          <w:sz w:val="22"/>
          <w:szCs w:val="22"/>
        </w:rPr>
        <w:t>Drugi predmet je ovršni postupak broj Ovrv-1138/01 koji vodi ovrhovoditelj Damir Prizmić protiv Dubrovačkih muzeja kao ovršenikova dužnika radi naplate propuštenih obustava na plaći svoje zaposlenice ovršenice. Iznos potraživanja je 106.842,64 kuna. Ovrhovoditeljev zahtjev je odbijen u prvom stupnju, a čeka se drugostupanjska odluka povodom njegove žalbe.</w:t>
      </w:r>
    </w:p>
    <w:bookmarkEnd w:id="0"/>
    <w:p w:rsidR="00E81B67" w:rsidRPr="006C7B2E" w:rsidRDefault="00E81B67" w:rsidP="00E81B67">
      <w:pPr>
        <w:rPr>
          <w:rFonts w:ascii="Arial" w:hAnsi="Arial" w:cs="Arial"/>
        </w:rPr>
      </w:pPr>
    </w:p>
    <w:p w:rsidR="00E81B67" w:rsidRPr="006C7B2E" w:rsidRDefault="00E81B67" w:rsidP="00E81B67">
      <w:pPr>
        <w:rPr>
          <w:rFonts w:ascii="Arial" w:hAnsi="Arial" w:cs="Arial"/>
        </w:rPr>
      </w:pPr>
      <w:r w:rsidRPr="006C7B2E">
        <w:rPr>
          <w:rFonts w:ascii="Arial" w:hAnsi="Arial" w:cs="Arial"/>
        </w:rPr>
        <w:t xml:space="preserve">Ukupan prihod </w:t>
      </w:r>
      <w:r w:rsidR="00A75833" w:rsidRPr="006C7B2E">
        <w:rPr>
          <w:rFonts w:ascii="Arial" w:hAnsi="Arial" w:cs="Arial"/>
        </w:rPr>
        <w:t>koji Muzeji ostvaruju od prodaje</w:t>
      </w:r>
      <w:r w:rsidRPr="006C7B2E">
        <w:rPr>
          <w:rFonts w:ascii="Arial" w:hAnsi="Arial" w:cs="Arial"/>
        </w:rPr>
        <w:t xml:space="preserve"> ulaznica </w:t>
      </w:r>
      <w:r w:rsidR="00A75833" w:rsidRPr="006C7B2E">
        <w:rPr>
          <w:rFonts w:ascii="Arial" w:hAnsi="Arial" w:cs="Arial"/>
        </w:rPr>
        <w:t xml:space="preserve">je prihod Grada Dubrovnika i uplaćuje se </w:t>
      </w:r>
      <w:r w:rsidRPr="006C7B2E">
        <w:rPr>
          <w:rFonts w:ascii="Arial" w:hAnsi="Arial" w:cs="Arial"/>
        </w:rPr>
        <w:t xml:space="preserve">u Gradski </w:t>
      </w:r>
      <w:proofErr w:type="gramStart"/>
      <w:r w:rsidRPr="006C7B2E">
        <w:rPr>
          <w:rFonts w:ascii="Arial" w:hAnsi="Arial" w:cs="Arial"/>
        </w:rPr>
        <w:t>proračunu  2021</w:t>
      </w:r>
      <w:proofErr w:type="gramEnd"/>
      <w:r w:rsidRPr="006C7B2E">
        <w:rPr>
          <w:rFonts w:ascii="Arial" w:hAnsi="Arial" w:cs="Arial"/>
        </w:rPr>
        <w:t xml:space="preserve">. godini je 2.931.069,90 kuna i značajno je </w:t>
      </w:r>
      <w:r w:rsidR="00A75833" w:rsidRPr="006C7B2E">
        <w:rPr>
          <w:rFonts w:ascii="Arial" w:hAnsi="Arial" w:cs="Arial"/>
        </w:rPr>
        <w:t xml:space="preserve">povećan (731.856,38 </w:t>
      </w:r>
      <w:proofErr w:type="gramStart"/>
      <w:r w:rsidR="00BD3009" w:rsidRPr="006C7B2E">
        <w:rPr>
          <w:rFonts w:ascii="Arial" w:hAnsi="Arial" w:cs="Arial"/>
        </w:rPr>
        <w:t>kn ,</w:t>
      </w:r>
      <w:proofErr w:type="gramEnd"/>
      <w:r w:rsidR="00BD3009" w:rsidRPr="006C7B2E">
        <w:rPr>
          <w:rFonts w:ascii="Arial" w:hAnsi="Arial" w:cs="Arial"/>
        </w:rPr>
        <w:t xml:space="preserve"> </w:t>
      </w:r>
      <w:r w:rsidR="00A75833" w:rsidRPr="006C7B2E">
        <w:rPr>
          <w:rFonts w:ascii="Arial" w:hAnsi="Arial" w:cs="Arial"/>
        </w:rPr>
        <w:t>oko 300</w:t>
      </w:r>
      <w:r w:rsidRPr="006C7B2E">
        <w:rPr>
          <w:rFonts w:ascii="Arial" w:hAnsi="Arial" w:cs="Arial"/>
        </w:rPr>
        <w:t>,5</w:t>
      </w:r>
      <w:r w:rsidR="00A75833" w:rsidRPr="006C7B2E">
        <w:rPr>
          <w:rFonts w:ascii="Arial" w:hAnsi="Arial" w:cs="Arial"/>
        </w:rPr>
        <w:t>0</w:t>
      </w:r>
      <w:r w:rsidRPr="006C7B2E">
        <w:rPr>
          <w:rFonts w:ascii="Arial" w:hAnsi="Arial" w:cs="Arial"/>
        </w:rPr>
        <w:t xml:space="preserve"> %) uslijed značajnog povećanja obima poslovanja.</w:t>
      </w:r>
    </w:p>
    <w:p w:rsidR="00E81B67" w:rsidRDefault="00E81B67" w:rsidP="00E81B67">
      <w:pPr>
        <w:rPr>
          <w:rFonts w:ascii="Arial" w:hAnsi="Arial" w:cs="Arial"/>
          <w:iCs/>
        </w:rPr>
      </w:pPr>
    </w:p>
    <w:p w:rsidR="00631B0C" w:rsidRDefault="00631B0C" w:rsidP="00E81B67">
      <w:pPr>
        <w:rPr>
          <w:rFonts w:ascii="Arial" w:hAnsi="Arial" w:cs="Arial"/>
          <w:iCs/>
        </w:rPr>
      </w:pPr>
      <w:bookmarkStart w:id="1" w:name="_GoBack"/>
      <w:bookmarkEnd w:id="1"/>
    </w:p>
    <w:p w:rsidR="00631B0C" w:rsidRPr="006C7B2E" w:rsidRDefault="00631B0C" w:rsidP="00E81B67">
      <w:pPr>
        <w:rPr>
          <w:rFonts w:ascii="Arial" w:hAnsi="Arial" w:cs="Arial"/>
          <w:iCs/>
        </w:rPr>
      </w:pPr>
    </w:p>
    <w:p w:rsidR="00E81B67" w:rsidRDefault="00631B0C" w:rsidP="00E81B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 </w:t>
      </w:r>
      <w:proofErr w:type="gramStart"/>
      <w:r>
        <w:rPr>
          <w:rFonts w:ascii="Arial" w:hAnsi="Arial" w:cs="Arial"/>
          <w:iCs/>
        </w:rPr>
        <w:t>Dubrovniku ,</w:t>
      </w:r>
      <w:proofErr w:type="gramEnd"/>
      <w:r>
        <w:rPr>
          <w:rFonts w:ascii="Arial" w:hAnsi="Arial" w:cs="Arial"/>
          <w:iCs/>
        </w:rPr>
        <w:t xml:space="preserve"> 29.03.2022.</w:t>
      </w:r>
    </w:p>
    <w:p w:rsidR="00631B0C" w:rsidRDefault="00631B0C" w:rsidP="00E81B67">
      <w:pPr>
        <w:rPr>
          <w:rFonts w:ascii="Arial" w:hAnsi="Arial" w:cs="Arial"/>
          <w:iCs/>
        </w:rPr>
      </w:pPr>
    </w:p>
    <w:p w:rsidR="00631B0C" w:rsidRDefault="00631B0C" w:rsidP="00E81B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631B0C" w:rsidRDefault="00631B0C" w:rsidP="00E81B67">
      <w:pPr>
        <w:rPr>
          <w:rFonts w:ascii="Arial" w:hAnsi="Arial" w:cs="Arial"/>
          <w:iCs/>
        </w:rPr>
      </w:pPr>
    </w:p>
    <w:p w:rsidR="00631B0C" w:rsidRDefault="00631B0C" w:rsidP="00631B0C">
      <w:pPr>
        <w:ind w:left="576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Ravnateljica</w:t>
      </w:r>
    </w:p>
    <w:p w:rsidR="00631B0C" w:rsidRPr="006C7B2E" w:rsidRDefault="00631B0C" w:rsidP="00E81B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Ivona Michl</w:t>
      </w:r>
    </w:p>
    <w:p w:rsidR="00E81B67" w:rsidRDefault="00E81B67">
      <w:pPr>
        <w:rPr>
          <w:rFonts w:cstheme="minorHAnsi"/>
        </w:rPr>
      </w:pPr>
    </w:p>
    <w:p w:rsidR="00E81B67" w:rsidRDefault="00E81B67">
      <w:pPr>
        <w:rPr>
          <w:rFonts w:cstheme="minorHAnsi"/>
        </w:rPr>
      </w:pPr>
    </w:p>
    <w:p w:rsidR="00E81B67" w:rsidRDefault="00E81B67">
      <w:pPr>
        <w:rPr>
          <w:rFonts w:cstheme="minorHAnsi"/>
        </w:rPr>
      </w:pPr>
    </w:p>
    <w:p w:rsidR="00E81B67" w:rsidRDefault="00E81B67">
      <w:pPr>
        <w:rPr>
          <w:rFonts w:cstheme="minorHAnsi"/>
        </w:rPr>
      </w:pPr>
    </w:p>
    <w:p w:rsidR="003B142F" w:rsidRDefault="003B142F"/>
    <w:sectPr w:rsidR="003B142F" w:rsidSect="004F6F1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6" w:rsidRDefault="00556B66" w:rsidP="00792A9D">
      <w:pPr>
        <w:spacing w:after="0" w:line="240" w:lineRule="auto"/>
      </w:pPr>
      <w:r>
        <w:separator/>
      </w:r>
    </w:p>
  </w:endnote>
  <w:endnote w:type="continuationSeparator" w:id="0">
    <w:p w:rsidR="00556B66" w:rsidRDefault="00556B66" w:rsidP="0079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94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891" w:rsidRDefault="00901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0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1891" w:rsidRDefault="0090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6" w:rsidRDefault="00556B66" w:rsidP="00792A9D">
      <w:pPr>
        <w:spacing w:after="0" w:line="240" w:lineRule="auto"/>
      </w:pPr>
      <w:r>
        <w:separator/>
      </w:r>
    </w:p>
  </w:footnote>
  <w:footnote w:type="continuationSeparator" w:id="0">
    <w:p w:rsidR="00556B66" w:rsidRDefault="00556B66" w:rsidP="0079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DA"/>
    <w:multiLevelType w:val="hybridMultilevel"/>
    <w:tmpl w:val="46C6759E"/>
    <w:lvl w:ilvl="0" w:tplc="4FA6F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38A9"/>
    <w:multiLevelType w:val="hybridMultilevel"/>
    <w:tmpl w:val="CD5CEFD6"/>
    <w:lvl w:ilvl="0" w:tplc="B7E8F686">
      <w:start w:val="100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271"/>
    <w:multiLevelType w:val="hybridMultilevel"/>
    <w:tmpl w:val="663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6DFD"/>
    <w:multiLevelType w:val="hybridMultilevel"/>
    <w:tmpl w:val="2D4C0076"/>
    <w:lvl w:ilvl="0" w:tplc="B7E8F686">
      <w:start w:val="100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1B92"/>
    <w:multiLevelType w:val="hybridMultilevel"/>
    <w:tmpl w:val="C5B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796F"/>
    <w:multiLevelType w:val="hybridMultilevel"/>
    <w:tmpl w:val="376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054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F28"/>
    <w:multiLevelType w:val="hybridMultilevel"/>
    <w:tmpl w:val="3E5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C"/>
    <w:rsid w:val="00001B5B"/>
    <w:rsid w:val="000072E7"/>
    <w:rsid w:val="000474C4"/>
    <w:rsid w:val="00062EFA"/>
    <w:rsid w:val="00065D35"/>
    <w:rsid w:val="00080537"/>
    <w:rsid w:val="000825F0"/>
    <w:rsid w:val="000948F5"/>
    <w:rsid w:val="00096C8B"/>
    <w:rsid w:val="000A4716"/>
    <w:rsid w:val="000C0C46"/>
    <w:rsid w:val="000D3BD9"/>
    <w:rsid w:val="000E2864"/>
    <w:rsid w:val="00107158"/>
    <w:rsid w:val="001076D9"/>
    <w:rsid w:val="00120DF7"/>
    <w:rsid w:val="00147F08"/>
    <w:rsid w:val="00160C1C"/>
    <w:rsid w:val="00166ECB"/>
    <w:rsid w:val="001C3F5E"/>
    <w:rsid w:val="00243146"/>
    <w:rsid w:val="002742E5"/>
    <w:rsid w:val="00282F5C"/>
    <w:rsid w:val="0029055A"/>
    <w:rsid w:val="002A5AA2"/>
    <w:rsid w:val="002C102A"/>
    <w:rsid w:val="002C7DCC"/>
    <w:rsid w:val="002E6D64"/>
    <w:rsid w:val="00300F67"/>
    <w:rsid w:val="003405AA"/>
    <w:rsid w:val="003B142F"/>
    <w:rsid w:val="00433BC6"/>
    <w:rsid w:val="00473E5A"/>
    <w:rsid w:val="0049213B"/>
    <w:rsid w:val="00494B44"/>
    <w:rsid w:val="00495E5F"/>
    <w:rsid w:val="004F6F15"/>
    <w:rsid w:val="00513C8B"/>
    <w:rsid w:val="00521BF3"/>
    <w:rsid w:val="00523129"/>
    <w:rsid w:val="00533B1A"/>
    <w:rsid w:val="00543FDB"/>
    <w:rsid w:val="00556B66"/>
    <w:rsid w:val="00560DAA"/>
    <w:rsid w:val="00590F9C"/>
    <w:rsid w:val="00593114"/>
    <w:rsid w:val="005A22C9"/>
    <w:rsid w:val="005A5847"/>
    <w:rsid w:val="005A6CE8"/>
    <w:rsid w:val="005B6501"/>
    <w:rsid w:val="005C3F1E"/>
    <w:rsid w:val="00605416"/>
    <w:rsid w:val="00615D94"/>
    <w:rsid w:val="0061646D"/>
    <w:rsid w:val="00620173"/>
    <w:rsid w:val="006232E1"/>
    <w:rsid w:val="0062475E"/>
    <w:rsid w:val="006310D6"/>
    <w:rsid w:val="00631B0C"/>
    <w:rsid w:val="00647D85"/>
    <w:rsid w:val="00686BBC"/>
    <w:rsid w:val="0069286D"/>
    <w:rsid w:val="006A2250"/>
    <w:rsid w:val="006A51F0"/>
    <w:rsid w:val="006A7747"/>
    <w:rsid w:val="006B436E"/>
    <w:rsid w:val="006C0487"/>
    <w:rsid w:val="006C7B2E"/>
    <w:rsid w:val="0071435B"/>
    <w:rsid w:val="00714FAC"/>
    <w:rsid w:val="007327CF"/>
    <w:rsid w:val="00761A4E"/>
    <w:rsid w:val="00792A9D"/>
    <w:rsid w:val="007D7853"/>
    <w:rsid w:val="00814B2C"/>
    <w:rsid w:val="00814F08"/>
    <w:rsid w:val="00832B11"/>
    <w:rsid w:val="00855E4E"/>
    <w:rsid w:val="008579D0"/>
    <w:rsid w:val="00865E68"/>
    <w:rsid w:val="00867B48"/>
    <w:rsid w:val="008727D7"/>
    <w:rsid w:val="0088761B"/>
    <w:rsid w:val="00891A6E"/>
    <w:rsid w:val="00894000"/>
    <w:rsid w:val="008B692A"/>
    <w:rsid w:val="008C2BA5"/>
    <w:rsid w:val="008C7D99"/>
    <w:rsid w:val="008E69F5"/>
    <w:rsid w:val="00901891"/>
    <w:rsid w:val="00912F69"/>
    <w:rsid w:val="00917638"/>
    <w:rsid w:val="00937E17"/>
    <w:rsid w:val="00951D16"/>
    <w:rsid w:val="00955C3A"/>
    <w:rsid w:val="009702A0"/>
    <w:rsid w:val="009A3D29"/>
    <w:rsid w:val="009A4315"/>
    <w:rsid w:val="009A46CC"/>
    <w:rsid w:val="009C4704"/>
    <w:rsid w:val="00A139C8"/>
    <w:rsid w:val="00A3743F"/>
    <w:rsid w:val="00A40D21"/>
    <w:rsid w:val="00A5097F"/>
    <w:rsid w:val="00A65CAA"/>
    <w:rsid w:val="00A67B54"/>
    <w:rsid w:val="00A71528"/>
    <w:rsid w:val="00A71614"/>
    <w:rsid w:val="00A751E3"/>
    <w:rsid w:val="00A75833"/>
    <w:rsid w:val="00A953BB"/>
    <w:rsid w:val="00AB0FE1"/>
    <w:rsid w:val="00AB199C"/>
    <w:rsid w:val="00AC035C"/>
    <w:rsid w:val="00AC32BA"/>
    <w:rsid w:val="00AC40CE"/>
    <w:rsid w:val="00AC4798"/>
    <w:rsid w:val="00AC7470"/>
    <w:rsid w:val="00AF767F"/>
    <w:rsid w:val="00B02510"/>
    <w:rsid w:val="00B1743E"/>
    <w:rsid w:val="00B20936"/>
    <w:rsid w:val="00B223B5"/>
    <w:rsid w:val="00B234F0"/>
    <w:rsid w:val="00B2587B"/>
    <w:rsid w:val="00B35FC6"/>
    <w:rsid w:val="00B55E22"/>
    <w:rsid w:val="00B65D93"/>
    <w:rsid w:val="00B66FAC"/>
    <w:rsid w:val="00B812D6"/>
    <w:rsid w:val="00B8183B"/>
    <w:rsid w:val="00B822C7"/>
    <w:rsid w:val="00B9358F"/>
    <w:rsid w:val="00B96D5F"/>
    <w:rsid w:val="00BA1594"/>
    <w:rsid w:val="00BD3009"/>
    <w:rsid w:val="00BE2AD9"/>
    <w:rsid w:val="00C04CA2"/>
    <w:rsid w:val="00C1376A"/>
    <w:rsid w:val="00C40E3F"/>
    <w:rsid w:val="00C42251"/>
    <w:rsid w:val="00C44D23"/>
    <w:rsid w:val="00C450DB"/>
    <w:rsid w:val="00C606A5"/>
    <w:rsid w:val="00C7220A"/>
    <w:rsid w:val="00C9163F"/>
    <w:rsid w:val="00CA4842"/>
    <w:rsid w:val="00CB0A19"/>
    <w:rsid w:val="00CB0A84"/>
    <w:rsid w:val="00CB6ED2"/>
    <w:rsid w:val="00CC6D84"/>
    <w:rsid w:val="00CC774B"/>
    <w:rsid w:val="00CF14A4"/>
    <w:rsid w:val="00CF59BB"/>
    <w:rsid w:val="00D310D9"/>
    <w:rsid w:val="00D3263D"/>
    <w:rsid w:val="00D474C8"/>
    <w:rsid w:val="00D767D6"/>
    <w:rsid w:val="00D97EBB"/>
    <w:rsid w:val="00DB2A4D"/>
    <w:rsid w:val="00DB4FCA"/>
    <w:rsid w:val="00DD06CE"/>
    <w:rsid w:val="00DD49DF"/>
    <w:rsid w:val="00DD6E77"/>
    <w:rsid w:val="00E25AB1"/>
    <w:rsid w:val="00E26411"/>
    <w:rsid w:val="00E316F1"/>
    <w:rsid w:val="00E422BD"/>
    <w:rsid w:val="00E57A49"/>
    <w:rsid w:val="00E671E5"/>
    <w:rsid w:val="00E70A4D"/>
    <w:rsid w:val="00E7542D"/>
    <w:rsid w:val="00E7579E"/>
    <w:rsid w:val="00E77F43"/>
    <w:rsid w:val="00E81B67"/>
    <w:rsid w:val="00E909C6"/>
    <w:rsid w:val="00EB01F8"/>
    <w:rsid w:val="00EB24D9"/>
    <w:rsid w:val="00EC52D3"/>
    <w:rsid w:val="00EE40A4"/>
    <w:rsid w:val="00EE5C23"/>
    <w:rsid w:val="00F00595"/>
    <w:rsid w:val="00F65D85"/>
    <w:rsid w:val="00F76F8B"/>
    <w:rsid w:val="00F827F8"/>
    <w:rsid w:val="00F83776"/>
    <w:rsid w:val="00F922E2"/>
    <w:rsid w:val="00F96D97"/>
    <w:rsid w:val="00FA3309"/>
    <w:rsid w:val="00FA5A39"/>
    <w:rsid w:val="00FC4EC5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68F2"/>
  <w15:chartTrackingRefBased/>
  <w15:docId w15:val="{57F4A267-B053-4B5E-A252-4C4D807B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9D"/>
  </w:style>
  <w:style w:type="paragraph" w:styleId="Footer">
    <w:name w:val="footer"/>
    <w:basedOn w:val="Normal"/>
    <w:link w:val="FooterChar"/>
    <w:uiPriority w:val="99"/>
    <w:unhideWhenUsed/>
    <w:rsid w:val="0079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9D"/>
  </w:style>
  <w:style w:type="character" w:styleId="CommentReference">
    <w:name w:val="annotation reference"/>
    <w:basedOn w:val="DefaultParagraphFont"/>
    <w:uiPriority w:val="99"/>
    <w:semiHidden/>
    <w:unhideWhenUsed/>
    <w:rsid w:val="00282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E81B67"/>
    <w:pPr>
      <w:autoSpaceDE w:val="0"/>
      <w:autoSpaceDN w:val="0"/>
      <w:spacing w:after="0" w:line="240" w:lineRule="auto"/>
    </w:pPr>
    <w:rPr>
      <w:rFonts w:ascii="Sylfaen" w:hAnsi="Sylfaen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4ABD-EB61-4F9C-91F2-7D4B49D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21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Almina</dc:creator>
  <cp:keywords/>
  <dc:description/>
  <cp:lastModifiedBy>Almina</cp:lastModifiedBy>
  <cp:revision>220</cp:revision>
  <cp:lastPrinted>2022-03-27T14:16:00Z</cp:lastPrinted>
  <dcterms:created xsi:type="dcterms:W3CDTF">2022-03-26T19:14:00Z</dcterms:created>
  <dcterms:modified xsi:type="dcterms:W3CDTF">2022-03-29T10:04:00Z</dcterms:modified>
</cp:coreProperties>
</file>